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01C6" w14:textId="77777777" w:rsidR="008961F6" w:rsidRPr="008961F6" w:rsidRDefault="008961F6" w:rsidP="008961F6">
      <w:pPr>
        <w:pStyle w:val="Heading1"/>
        <w:spacing w:before="120" w:after="0" w:line="276" w:lineRule="auto"/>
        <w:ind w:right="43"/>
        <w:jc w:val="center"/>
        <w:rPr>
          <w:rStyle w:val="IntenseReference"/>
          <w:sz w:val="24"/>
          <w:szCs w:val="24"/>
        </w:rPr>
      </w:pPr>
      <w:r w:rsidRPr="008961F6">
        <w:rPr>
          <w:rStyle w:val="IntenseReference"/>
          <w:sz w:val="24"/>
          <w:szCs w:val="24"/>
        </w:rPr>
        <w:t>Newton-Wellesley Hospital</w:t>
      </w:r>
    </w:p>
    <w:p w14:paraId="1DF3CEFD" w14:textId="77777777" w:rsidR="008961F6" w:rsidRPr="008961F6" w:rsidRDefault="008961F6" w:rsidP="008961F6">
      <w:pPr>
        <w:pStyle w:val="Heading1"/>
        <w:spacing w:before="120" w:after="0" w:line="276" w:lineRule="auto"/>
        <w:ind w:right="43"/>
        <w:jc w:val="center"/>
        <w:rPr>
          <w:rStyle w:val="IntenseReference"/>
          <w:sz w:val="24"/>
          <w:szCs w:val="24"/>
        </w:rPr>
      </w:pPr>
      <w:r w:rsidRPr="008961F6">
        <w:rPr>
          <w:rStyle w:val="IntenseReference"/>
          <w:sz w:val="24"/>
          <w:szCs w:val="24"/>
        </w:rPr>
        <w:t>Community Connections Community-Based Health Initiative</w:t>
      </w:r>
    </w:p>
    <w:p w14:paraId="2D589362" w14:textId="77777777" w:rsidR="008961F6" w:rsidRPr="008961F6" w:rsidRDefault="008961F6" w:rsidP="008961F6">
      <w:pPr>
        <w:pStyle w:val="Heading1"/>
        <w:spacing w:before="120" w:after="0" w:line="276" w:lineRule="auto"/>
        <w:ind w:right="43"/>
        <w:jc w:val="center"/>
        <w:rPr>
          <w:rStyle w:val="IntenseReference"/>
          <w:sz w:val="24"/>
          <w:szCs w:val="24"/>
        </w:rPr>
      </w:pPr>
      <w:r w:rsidRPr="008961F6">
        <w:rPr>
          <w:rStyle w:val="IntenseReference"/>
          <w:sz w:val="24"/>
          <w:szCs w:val="24"/>
        </w:rPr>
        <w:t>Request for Proposals</w:t>
      </w:r>
    </w:p>
    <w:p w14:paraId="3A1AD76A" w14:textId="7BECF2DA" w:rsidR="008961F6" w:rsidRPr="008961F6" w:rsidRDefault="008961F6" w:rsidP="008961F6">
      <w:pPr>
        <w:pStyle w:val="Heading1"/>
        <w:spacing w:before="120" w:after="0" w:line="276" w:lineRule="auto"/>
        <w:ind w:right="43"/>
        <w:jc w:val="center"/>
        <w:rPr>
          <w:rStyle w:val="IntenseReference"/>
          <w:sz w:val="24"/>
          <w:szCs w:val="24"/>
        </w:rPr>
      </w:pPr>
      <w:r w:rsidRPr="008961F6">
        <w:rPr>
          <w:rStyle w:val="IntenseReference"/>
          <w:sz w:val="24"/>
          <w:szCs w:val="24"/>
        </w:rPr>
        <w:t xml:space="preserve">Release date: </w:t>
      </w:r>
      <w:r w:rsidR="008F234A">
        <w:rPr>
          <w:rStyle w:val="IntenseReference"/>
          <w:sz w:val="24"/>
          <w:szCs w:val="24"/>
        </w:rPr>
        <w:t xml:space="preserve">Week of </w:t>
      </w:r>
      <w:r w:rsidRPr="001B26B8">
        <w:rPr>
          <w:rStyle w:val="IntenseReference"/>
          <w:sz w:val="24"/>
          <w:szCs w:val="24"/>
        </w:rPr>
        <w:t>January 6, 2025</w:t>
      </w:r>
    </w:p>
    <w:p w14:paraId="32C6DBEB" w14:textId="77777777" w:rsidR="008961F6" w:rsidRPr="008961F6" w:rsidRDefault="008961F6" w:rsidP="008961F6">
      <w:pPr>
        <w:pStyle w:val="Heading1"/>
        <w:spacing w:before="120" w:after="0" w:line="276" w:lineRule="auto"/>
        <w:ind w:right="43"/>
        <w:jc w:val="center"/>
        <w:rPr>
          <w:rStyle w:val="IntenseReference"/>
          <w:sz w:val="24"/>
          <w:szCs w:val="24"/>
        </w:rPr>
      </w:pPr>
      <w:r w:rsidRPr="008961F6">
        <w:rPr>
          <w:rStyle w:val="IntenseReference"/>
          <w:sz w:val="24"/>
          <w:szCs w:val="24"/>
        </w:rPr>
        <w:t xml:space="preserve">Grant Applications Due: </w:t>
      </w:r>
      <w:r w:rsidRPr="001B26B8">
        <w:rPr>
          <w:rStyle w:val="IntenseReference"/>
          <w:sz w:val="24"/>
          <w:szCs w:val="24"/>
        </w:rPr>
        <w:t xml:space="preserve">February 7, </w:t>
      </w:r>
      <w:proofErr w:type="gramStart"/>
      <w:r w:rsidRPr="001B26B8">
        <w:rPr>
          <w:rStyle w:val="IntenseReference"/>
          <w:sz w:val="24"/>
          <w:szCs w:val="24"/>
        </w:rPr>
        <w:t>2025</w:t>
      </w:r>
      <w:proofErr w:type="gramEnd"/>
      <w:r w:rsidRPr="001B26B8">
        <w:rPr>
          <w:rStyle w:val="IntenseReference"/>
          <w:sz w:val="24"/>
          <w:szCs w:val="24"/>
        </w:rPr>
        <w:t xml:space="preserve"> before</w:t>
      </w:r>
      <w:r w:rsidRPr="008961F6">
        <w:rPr>
          <w:rStyle w:val="IntenseReference"/>
          <w:sz w:val="24"/>
          <w:szCs w:val="24"/>
        </w:rPr>
        <w:t xml:space="preserve"> 5:00 pm</w:t>
      </w:r>
    </w:p>
    <w:p w14:paraId="061F48B7" w14:textId="77777777" w:rsidR="00705A6D" w:rsidRDefault="00705A6D"/>
    <w:p w14:paraId="1343AAE5" w14:textId="41B4D570" w:rsidR="00E76B95" w:rsidRDefault="00E76B95" w:rsidP="00E76B95">
      <w:pPr>
        <w:pStyle w:val="Heading1"/>
      </w:pPr>
      <w:r>
        <w:t>I</w:t>
      </w:r>
      <w:r w:rsidR="00C53ED9">
        <w:t>NTRODUCTION</w:t>
      </w:r>
    </w:p>
    <w:p w14:paraId="1F45B64E" w14:textId="39FB27ED" w:rsidR="00E76B95" w:rsidRPr="00DC2D40" w:rsidRDefault="00E76B95" w:rsidP="00220EC5">
      <w:pPr>
        <w:pStyle w:val="BodyText"/>
        <w:spacing w:line="276" w:lineRule="auto"/>
        <w:ind w:right="162"/>
        <w:rPr>
          <w:rFonts w:asciiTheme="minorHAnsi" w:hAnsiTheme="minorHAnsi" w:cstheme="minorHAnsi"/>
          <w:sz w:val="22"/>
          <w:szCs w:val="22"/>
        </w:rPr>
      </w:pPr>
      <w:r w:rsidRPr="00DC2D40">
        <w:rPr>
          <w:rFonts w:asciiTheme="minorHAnsi" w:hAnsiTheme="minorHAnsi" w:cstheme="minorHAnsi"/>
          <w:sz w:val="22"/>
          <w:szCs w:val="22"/>
        </w:rPr>
        <w:t xml:space="preserve">Mass General Brigham Newton-Wellesley Hospital (NWH) is seeking proposals from community-based organizations to develop approaches that </w:t>
      </w:r>
      <w:r w:rsidR="000A545E" w:rsidRPr="00DC2D40">
        <w:rPr>
          <w:rFonts w:asciiTheme="minorHAnsi" w:hAnsiTheme="minorHAnsi" w:cstheme="minorHAnsi"/>
          <w:sz w:val="22"/>
          <w:szCs w:val="22"/>
        </w:rPr>
        <w:t>improve access to the continuum of Waltham community services that support health and well-being</w:t>
      </w:r>
      <w:r w:rsidR="000A545E">
        <w:rPr>
          <w:rFonts w:asciiTheme="minorHAnsi" w:hAnsiTheme="minorHAnsi" w:cstheme="minorHAnsi"/>
          <w:sz w:val="22"/>
          <w:szCs w:val="22"/>
        </w:rPr>
        <w:t xml:space="preserve"> by </w:t>
      </w:r>
      <w:r w:rsidRPr="00DC2D40">
        <w:rPr>
          <w:rFonts w:asciiTheme="minorHAnsi" w:hAnsiTheme="minorHAnsi" w:cstheme="minorHAnsi"/>
          <w:sz w:val="22"/>
          <w:szCs w:val="22"/>
        </w:rPr>
        <w:t>reduc</w:t>
      </w:r>
      <w:r w:rsidR="000A545E">
        <w:rPr>
          <w:rFonts w:asciiTheme="minorHAnsi" w:hAnsiTheme="minorHAnsi" w:cstheme="minorHAnsi"/>
          <w:sz w:val="22"/>
          <w:szCs w:val="22"/>
        </w:rPr>
        <w:t>ing</w:t>
      </w:r>
      <w:r w:rsidRPr="00DC2D40">
        <w:rPr>
          <w:rFonts w:asciiTheme="minorHAnsi" w:hAnsiTheme="minorHAnsi" w:cstheme="minorHAnsi"/>
          <w:sz w:val="22"/>
          <w:szCs w:val="22"/>
        </w:rPr>
        <w:t xml:space="preserve"> systemic barriers to care commonly experienced by vulnerable populations across the life span</w:t>
      </w:r>
      <w:r w:rsidR="000A545E">
        <w:rPr>
          <w:rFonts w:asciiTheme="minorHAnsi" w:hAnsiTheme="minorHAnsi" w:cstheme="minorHAnsi"/>
          <w:sz w:val="22"/>
          <w:szCs w:val="22"/>
        </w:rPr>
        <w:t>.</w:t>
      </w:r>
      <w:r w:rsidRPr="00DC2D40">
        <w:rPr>
          <w:rFonts w:asciiTheme="minorHAnsi" w:hAnsiTheme="minorHAnsi" w:cstheme="minorHAnsi"/>
          <w:sz w:val="22"/>
          <w:szCs w:val="22"/>
        </w:rPr>
        <w:t xml:space="preserve"> This grant-making initiative is made possible by the approval of an amendment to a Determination of Need (DoN) Community-Based Health Initiative (CHI) process: Mass General Brigham Newton-Wellesley DoN MGB-23120412-AM (Amendment)/PHS-18022210-HE (Original).</w:t>
      </w:r>
    </w:p>
    <w:p w14:paraId="73DC01EC" w14:textId="77777777" w:rsidR="00E76B95" w:rsidRPr="004C2B9A" w:rsidRDefault="00E76B95" w:rsidP="00E76B95">
      <w:pPr>
        <w:pStyle w:val="Heading2"/>
      </w:pPr>
      <w:r w:rsidRPr="004C2B9A">
        <w:rPr>
          <w:w w:val="105"/>
        </w:rPr>
        <w:t>Community-based</w:t>
      </w:r>
      <w:r w:rsidRPr="004C2B9A">
        <w:rPr>
          <w:spacing w:val="9"/>
          <w:w w:val="105"/>
        </w:rPr>
        <w:t xml:space="preserve"> </w:t>
      </w:r>
      <w:r w:rsidRPr="004C2B9A">
        <w:rPr>
          <w:w w:val="105"/>
        </w:rPr>
        <w:t>Health</w:t>
      </w:r>
      <w:r w:rsidRPr="004C2B9A">
        <w:rPr>
          <w:spacing w:val="10"/>
          <w:w w:val="105"/>
        </w:rPr>
        <w:t xml:space="preserve"> </w:t>
      </w:r>
      <w:r w:rsidRPr="004C2B9A">
        <w:rPr>
          <w:w w:val="105"/>
        </w:rPr>
        <w:t>Initiative</w:t>
      </w:r>
      <w:r w:rsidRPr="004C2B9A">
        <w:rPr>
          <w:spacing w:val="10"/>
          <w:w w:val="105"/>
        </w:rPr>
        <w:t xml:space="preserve"> </w:t>
      </w:r>
      <w:r w:rsidRPr="004C2B9A">
        <w:rPr>
          <w:w w:val="105"/>
        </w:rPr>
        <w:t>Background</w:t>
      </w:r>
    </w:p>
    <w:p w14:paraId="5A42B1A5" w14:textId="67AD3A04" w:rsidR="00E76B95" w:rsidRPr="00DC2D40" w:rsidRDefault="00E76B95" w:rsidP="000A545E">
      <w:pPr>
        <w:spacing w:after="0" w:line="276" w:lineRule="auto"/>
        <w:rPr>
          <w:rFonts w:cstheme="minorHAnsi"/>
        </w:rPr>
      </w:pPr>
      <w:r w:rsidRPr="00DC2D40">
        <w:rPr>
          <w:rFonts w:cstheme="minorHAnsi"/>
          <w:w w:val="105"/>
        </w:rPr>
        <w:t>In October 2019, NWH, on behalf of Mass General Hospital</w:t>
      </w:r>
      <w:r w:rsidR="00196098">
        <w:rPr>
          <w:rFonts w:cstheme="minorHAnsi"/>
          <w:w w:val="105"/>
        </w:rPr>
        <w:t xml:space="preserve"> (MGH)</w:t>
      </w:r>
      <w:r w:rsidRPr="00DC2D40">
        <w:rPr>
          <w:rFonts w:cstheme="minorHAnsi"/>
          <w:w w:val="105"/>
        </w:rPr>
        <w:t xml:space="preserve">, awarded a 4-year $1.5 million grant to a collaborative of community-based organizations to address disparities in educational attainment among Waltham students, particularly focused on Latinx emerging bilingual newcomer students. This CHI </w:t>
      </w:r>
      <w:r w:rsidR="001708EF" w:rsidRPr="00DC2D40">
        <w:rPr>
          <w:rFonts w:cstheme="minorHAnsi"/>
          <w:w w:val="105"/>
        </w:rPr>
        <w:t xml:space="preserve">concluded in September 2023. </w:t>
      </w:r>
      <w:r w:rsidRPr="00DC2D40">
        <w:rPr>
          <w:rFonts w:cstheme="minorHAnsi"/>
          <w:w w:val="105"/>
        </w:rPr>
        <w:t>In March 2024, MGH received approval of an amendment to the DoN referenced above, result</w:t>
      </w:r>
      <w:r w:rsidR="00DC2D40" w:rsidRPr="00DC2D40">
        <w:rPr>
          <w:rFonts w:cstheme="minorHAnsi"/>
          <w:w w:val="105"/>
        </w:rPr>
        <w:t>ing</w:t>
      </w:r>
      <w:r w:rsidRPr="00DC2D40">
        <w:rPr>
          <w:rFonts w:cstheme="minorHAnsi"/>
          <w:w w:val="105"/>
        </w:rPr>
        <w:t xml:space="preserve"> in </w:t>
      </w:r>
      <w:r w:rsidRPr="00DC2D40">
        <w:rPr>
          <w:rFonts w:eastAsia="Calibri" w:cstheme="minorHAnsi"/>
        </w:rPr>
        <w:t>$692,595</w:t>
      </w:r>
      <w:r w:rsidRPr="00DC2D40">
        <w:rPr>
          <w:rFonts w:cstheme="minorHAnsi"/>
        </w:rPr>
        <w:t xml:space="preserve"> </w:t>
      </w:r>
      <w:r w:rsidR="007E0C9D">
        <w:rPr>
          <w:rFonts w:cstheme="minorHAnsi"/>
        </w:rPr>
        <w:t xml:space="preserve">of </w:t>
      </w:r>
      <w:r w:rsidRPr="00DC2D40">
        <w:rPr>
          <w:rFonts w:cstheme="minorHAnsi"/>
        </w:rPr>
        <w:t xml:space="preserve">additional CHI </w:t>
      </w:r>
      <w:r w:rsidR="007E0C9D">
        <w:rPr>
          <w:rFonts w:cstheme="minorHAnsi"/>
        </w:rPr>
        <w:t>funding</w:t>
      </w:r>
      <w:r w:rsidRPr="00DC2D40">
        <w:rPr>
          <w:rFonts w:cstheme="minorHAnsi"/>
        </w:rPr>
        <w:t xml:space="preserve"> for Waltham, which will again be administered by NWH.</w:t>
      </w:r>
    </w:p>
    <w:p w14:paraId="3FB2A5E1" w14:textId="77777777" w:rsidR="001708EF" w:rsidRPr="00DC2D40" w:rsidRDefault="001708EF" w:rsidP="00E76B95">
      <w:pPr>
        <w:spacing w:after="0" w:line="240" w:lineRule="auto"/>
        <w:rPr>
          <w:rFonts w:cstheme="minorHAnsi"/>
          <w:w w:val="105"/>
        </w:rPr>
      </w:pPr>
    </w:p>
    <w:p w14:paraId="075CA7AA" w14:textId="77777777" w:rsidR="007E0C9D" w:rsidRPr="000A545E" w:rsidRDefault="00E76B95" w:rsidP="000A545E">
      <w:pPr>
        <w:spacing w:after="0" w:line="276" w:lineRule="auto"/>
        <w:rPr>
          <w:rFonts w:cstheme="minorHAnsi"/>
          <w:w w:val="105"/>
        </w:rPr>
      </w:pPr>
      <w:r w:rsidRPr="000A545E">
        <w:rPr>
          <w:rFonts w:cstheme="minorHAnsi"/>
          <w:w w:val="105"/>
        </w:rPr>
        <w:t>Given the change in the community landscape post-pandemic, NWH engaged a Waltham-based Advisory Committee</w:t>
      </w:r>
      <w:r w:rsidR="007E0C9D" w:rsidRPr="000A545E">
        <w:rPr>
          <w:rFonts w:cstheme="minorHAnsi"/>
          <w:w w:val="105"/>
        </w:rPr>
        <w:t>—</w:t>
      </w:r>
      <w:r w:rsidRPr="000A545E">
        <w:rPr>
          <w:rFonts w:cstheme="minorHAnsi"/>
          <w:w w:val="105"/>
        </w:rPr>
        <w:t>comprised of Waltham-based NWH Community Benefits Committee members and other Waltham sector representation</w:t>
      </w:r>
      <w:r w:rsidR="007E0C9D" w:rsidRPr="000A545E">
        <w:rPr>
          <w:rFonts w:cstheme="minorHAnsi"/>
          <w:w w:val="105"/>
        </w:rPr>
        <w:t>—</w:t>
      </w:r>
      <w:r w:rsidRPr="000A545E">
        <w:rPr>
          <w:rFonts w:cstheme="minorHAnsi"/>
          <w:w w:val="105"/>
        </w:rPr>
        <w:t xml:space="preserve">to consider new health priorities and strategies for investment. </w:t>
      </w:r>
      <w:r w:rsidR="001708EF" w:rsidRPr="000A545E">
        <w:rPr>
          <w:rFonts w:cstheme="minorHAnsi"/>
          <w:w w:val="105"/>
        </w:rPr>
        <w:t>T</w:t>
      </w:r>
      <w:r w:rsidRPr="000A545E">
        <w:rPr>
          <w:rFonts w:cstheme="minorHAnsi"/>
          <w:w w:val="105"/>
        </w:rPr>
        <w:t xml:space="preserve">he committee identified four systemic barriers to accessing critical healthcare and social services, which negatively impact the health and well-being of vulnerable populations across the lifespan in Waltham. </w:t>
      </w:r>
    </w:p>
    <w:p w14:paraId="697E750C" w14:textId="77777777" w:rsidR="007E0C9D" w:rsidRDefault="007E0C9D" w:rsidP="001708EF">
      <w:pPr>
        <w:spacing w:after="0" w:line="240" w:lineRule="auto"/>
        <w:rPr>
          <w:rFonts w:eastAsia="Calibri" w:cstheme="minorHAnsi"/>
        </w:rPr>
      </w:pPr>
    </w:p>
    <w:p w14:paraId="64A5F309" w14:textId="0898D05F" w:rsidR="00E76B95" w:rsidRPr="007E0C9D" w:rsidRDefault="00E76B95" w:rsidP="001708EF">
      <w:pPr>
        <w:spacing w:after="0" w:line="240" w:lineRule="auto"/>
        <w:rPr>
          <w:rFonts w:cstheme="minorHAnsi"/>
        </w:rPr>
      </w:pPr>
      <w:r w:rsidRPr="00DC2D40">
        <w:rPr>
          <w:rFonts w:eastAsia="Calibri" w:cstheme="minorHAnsi"/>
        </w:rPr>
        <w:t xml:space="preserve">Specifically, the committee identified four barriers that contribute to </w:t>
      </w:r>
      <w:r w:rsidRPr="00DC2D40">
        <w:rPr>
          <w:rFonts w:cstheme="minorHAnsi"/>
        </w:rPr>
        <w:t xml:space="preserve">health </w:t>
      </w:r>
      <w:r w:rsidRPr="00DC2D40">
        <w:rPr>
          <w:rFonts w:eastAsia="Calibri" w:cstheme="minorHAnsi"/>
        </w:rPr>
        <w:t>inequities, including:</w:t>
      </w:r>
    </w:p>
    <w:p w14:paraId="4D697B15" w14:textId="77777777" w:rsidR="00E76B95" w:rsidRPr="00DC2D40" w:rsidRDefault="00E76B95" w:rsidP="007E0C9D">
      <w:pPr>
        <w:numPr>
          <w:ilvl w:val="0"/>
          <w:numId w:val="2"/>
        </w:numPr>
        <w:spacing w:before="120" w:after="0" w:line="240" w:lineRule="auto"/>
        <w:rPr>
          <w:rFonts w:cstheme="minorHAnsi"/>
        </w:rPr>
      </w:pPr>
      <w:r w:rsidRPr="00DC2D40">
        <w:rPr>
          <w:rFonts w:cstheme="minorHAnsi"/>
        </w:rPr>
        <w:t>Overly complicated processes to access services (e.g., application and administrative complexity)</w:t>
      </w:r>
    </w:p>
    <w:p w14:paraId="62A3B429" w14:textId="77777777" w:rsidR="00E76B95" w:rsidRPr="00DC2D40" w:rsidRDefault="00E76B95" w:rsidP="007E0C9D">
      <w:pPr>
        <w:numPr>
          <w:ilvl w:val="0"/>
          <w:numId w:val="2"/>
        </w:numPr>
        <w:spacing w:before="120" w:after="0" w:line="240" w:lineRule="auto"/>
        <w:rPr>
          <w:rFonts w:cstheme="minorHAnsi"/>
        </w:rPr>
      </w:pPr>
      <w:r w:rsidRPr="00DC2D40">
        <w:rPr>
          <w:rFonts w:cstheme="minorHAnsi"/>
        </w:rPr>
        <w:t>Cultural barriers, including language access, cultural appropriateness, and stigma</w:t>
      </w:r>
    </w:p>
    <w:p w14:paraId="3D437970" w14:textId="77777777" w:rsidR="00E76B95" w:rsidRPr="00DC2D40" w:rsidRDefault="00E76B95" w:rsidP="007E0C9D">
      <w:pPr>
        <w:numPr>
          <w:ilvl w:val="0"/>
          <w:numId w:val="2"/>
        </w:numPr>
        <w:spacing w:before="120" w:after="0" w:line="240" w:lineRule="auto"/>
        <w:rPr>
          <w:rFonts w:cstheme="minorHAnsi"/>
          <w:u w:val="single"/>
        </w:rPr>
      </w:pPr>
      <w:r w:rsidRPr="00DC2D40">
        <w:rPr>
          <w:rFonts w:cstheme="minorHAnsi"/>
        </w:rPr>
        <w:t>Technological barriers, including the lack of devices, internet, and skills to utilize technology</w:t>
      </w:r>
    </w:p>
    <w:p w14:paraId="609690C8" w14:textId="77777777" w:rsidR="00E76B95" w:rsidRPr="00DC2D40" w:rsidRDefault="00E76B95" w:rsidP="007E0C9D">
      <w:pPr>
        <w:numPr>
          <w:ilvl w:val="0"/>
          <w:numId w:val="2"/>
        </w:numPr>
        <w:spacing w:before="120" w:after="0" w:line="240" w:lineRule="auto"/>
        <w:rPr>
          <w:rFonts w:cstheme="minorHAnsi"/>
          <w:u w:val="single"/>
        </w:rPr>
      </w:pPr>
      <w:r w:rsidRPr="00DC2D40">
        <w:rPr>
          <w:rFonts w:cstheme="minorHAnsi"/>
        </w:rPr>
        <w:t>Transportation barriers</w:t>
      </w:r>
    </w:p>
    <w:p w14:paraId="0B3D335C" w14:textId="77777777" w:rsidR="00E76B95" w:rsidRPr="00DC2D40" w:rsidRDefault="00E76B95" w:rsidP="00E76B95">
      <w:pPr>
        <w:spacing w:after="0" w:line="240" w:lineRule="auto"/>
        <w:rPr>
          <w:rFonts w:cstheme="minorHAnsi"/>
          <w:w w:val="105"/>
        </w:rPr>
      </w:pPr>
    </w:p>
    <w:p w14:paraId="03B67575" w14:textId="038D375D" w:rsidR="00DC2D40" w:rsidRDefault="00DC2D40" w:rsidP="00DC2D40">
      <w:pPr>
        <w:pStyle w:val="Heading2"/>
        <w:rPr>
          <w:rFonts w:eastAsia="Calibri"/>
        </w:rPr>
      </w:pPr>
      <w:r>
        <w:rPr>
          <w:rFonts w:eastAsia="Calibri"/>
        </w:rPr>
        <w:lastRenderedPageBreak/>
        <w:t>Systemic Barriers</w:t>
      </w:r>
      <w:r w:rsidR="008961F6">
        <w:rPr>
          <w:rFonts w:eastAsia="Calibri"/>
        </w:rPr>
        <w:t xml:space="preserve"> Drive Health Inequities</w:t>
      </w:r>
    </w:p>
    <w:p w14:paraId="36F50DE9" w14:textId="29A3F106" w:rsidR="00DC2D40" w:rsidRPr="00DC2D40" w:rsidRDefault="00196098" w:rsidP="000A545E">
      <w:pPr>
        <w:spacing w:after="0" w:line="276" w:lineRule="auto"/>
        <w:rPr>
          <w:rFonts w:eastAsia="Calibri" w:cs="Times New Roman"/>
        </w:rPr>
      </w:pPr>
      <w:r>
        <w:rPr>
          <w:rFonts w:eastAsia="Calibri" w:cs="Times New Roman"/>
        </w:rPr>
        <w:t>The</w:t>
      </w:r>
      <w:r w:rsidR="00DC2D40" w:rsidRPr="00DC2D40">
        <w:rPr>
          <w:rFonts w:eastAsia="Calibri" w:cs="Times New Roman"/>
          <w:i/>
          <w:iCs/>
        </w:rPr>
        <w:t xml:space="preserve"> Community Connections</w:t>
      </w:r>
      <w:r>
        <w:rPr>
          <w:rFonts w:eastAsia="Calibri" w:cs="Times New Roman"/>
          <w:i/>
          <w:iCs/>
        </w:rPr>
        <w:t xml:space="preserve"> CHI</w:t>
      </w:r>
      <w:r w:rsidR="00DC2D40" w:rsidRPr="00DC2D40">
        <w:rPr>
          <w:rFonts w:eastAsia="Calibri" w:cs="Times New Roman"/>
        </w:rPr>
        <w:t xml:space="preserve"> seek</w:t>
      </w:r>
      <w:r>
        <w:rPr>
          <w:rFonts w:eastAsia="Calibri" w:cs="Times New Roman"/>
        </w:rPr>
        <w:t>s</w:t>
      </w:r>
      <w:r w:rsidR="00DC2D40" w:rsidRPr="00DC2D40">
        <w:rPr>
          <w:rFonts w:eastAsia="Calibri" w:cs="Times New Roman"/>
        </w:rPr>
        <w:t xml:space="preserve"> to reduce systemic barriers to accessing </w:t>
      </w:r>
      <w:r w:rsidR="000A545E">
        <w:rPr>
          <w:rFonts w:eastAsia="Calibri" w:cs="Times New Roman"/>
        </w:rPr>
        <w:t xml:space="preserve">a range of </w:t>
      </w:r>
      <w:r>
        <w:rPr>
          <w:rFonts w:eastAsia="Calibri" w:cs="Times New Roman"/>
        </w:rPr>
        <w:t xml:space="preserve">community services. </w:t>
      </w:r>
      <w:r w:rsidR="00DC2D40" w:rsidRPr="00DC2D40">
        <w:rPr>
          <w:rFonts w:eastAsia="Calibri" w:cs="Times New Roman"/>
        </w:rPr>
        <w:t xml:space="preserve">A qualitative assessment of patient-reported barriers to accessing and using social </w:t>
      </w:r>
      <w:r w:rsidR="000A545E">
        <w:rPr>
          <w:rFonts w:eastAsia="Calibri" w:cs="Times New Roman"/>
        </w:rPr>
        <w:t>service</w:t>
      </w:r>
      <w:r w:rsidR="00DC2D40" w:rsidRPr="00DC2D40">
        <w:rPr>
          <w:rFonts w:eastAsia="Calibri" w:cs="Times New Roman"/>
        </w:rPr>
        <w:t xml:space="preserve"> programs found that “</w:t>
      </w:r>
      <w:r>
        <w:rPr>
          <w:rFonts w:eastAsia="Calibri" w:cs="Times New Roman"/>
        </w:rPr>
        <w:t>i</w:t>
      </w:r>
      <w:r w:rsidR="00DC2D40" w:rsidRPr="00DC2D40">
        <w:rPr>
          <w:rFonts w:eastAsia="Calibri" w:cs="Times New Roman"/>
        </w:rPr>
        <w:t>ndividuals described two distinct domains of barriers: 1) systems-level barriers that were linked to the inequitable distribution of and access to resources, and 2) personal-level barriers that focused on unique limitations experienced by each patient and impacted the way that they accessed services in their communities.”</w:t>
      </w:r>
      <w:r w:rsidR="00DC2D40" w:rsidRPr="00DC2D40">
        <w:rPr>
          <w:rStyle w:val="FootnoteReference"/>
          <w:rFonts w:eastAsia="Calibri" w:cs="Times New Roman"/>
        </w:rPr>
        <w:footnoteReference w:id="1"/>
      </w:r>
      <w:r w:rsidR="00DC2D40" w:rsidRPr="00DC2D40">
        <w:rPr>
          <w:rFonts w:eastAsia="Calibri" w:cs="Times New Roman"/>
        </w:rPr>
        <w:t xml:space="preserve"> Systems-level barriers noted in the study include limited availability (i.e., not enough resources available), limited accessibility (e.g., distance, no services outside of work hours, transportation or mobility challenges), strict program criteria and complicated application processes, stigma, lack of English language fluency, lack of technology resources and computer literacy, and immigration status. </w:t>
      </w:r>
    </w:p>
    <w:p w14:paraId="72237085" w14:textId="77777777" w:rsidR="00DC2D40" w:rsidRPr="00DC2D40" w:rsidRDefault="00DC2D40" w:rsidP="000A545E">
      <w:pPr>
        <w:spacing w:after="0" w:line="276" w:lineRule="auto"/>
        <w:rPr>
          <w:rFonts w:eastAsia="Calibri" w:cs="Times New Roman"/>
        </w:rPr>
      </w:pPr>
    </w:p>
    <w:p w14:paraId="54A08617" w14:textId="2DB754F3" w:rsidR="00DC2D40" w:rsidRDefault="008961F6" w:rsidP="000A545E">
      <w:pPr>
        <w:spacing w:after="0" w:line="276" w:lineRule="auto"/>
        <w:rPr>
          <w:rFonts w:eastAsia="Calibri" w:cs="Times New Roman"/>
        </w:rPr>
      </w:pPr>
      <w:r>
        <w:rPr>
          <w:rFonts w:eastAsia="Calibri" w:cs="Times New Roman"/>
        </w:rPr>
        <w:t xml:space="preserve">Waltham Advisory </w:t>
      </w:r>
      <w:r w:rsidR="00DC2D40" w:rsidRPr="00DC2D40">
        <w:rPr>
          <w:rFonts w:eastAsia="Calibri" w:cs="Times New Roman"/>
        </w:rPr>
        <w:t xml:space="preserve">Committee members highlighted the unique needs of the immigrant community, including those who have been in the community for some time and recent arrivals to the city, in terms of the lack of coordinated, </w:t>
      </w:r>
      <w:r w:rsidR="00196098" w:rsidRPr="00DC2D40">
        <w:rPr>
          <w:rFonts w:eastAsia="Calibri" w:cs="Times New Roman"/>
        </w:rPr>
        <w:t>low burden</w:t>
      </w:r>
      <w:r w:rsidR="00DC2D40" w:rsidRPr="00DC2D40">
        <w:rPr>
          <w:rFonts w:eastAsia="Calibri" w:cs="Times New Roman"/>
        </w:rPr>
        <w:t xml:space="preserve"> approaches to accessing </w:t>
      </w:r>
      <w:r w:rsidR="000A545E">
        <w:rPr>
          <w:rFonts w:eastAsia="Calibri" w:cs="Times New Roman"/>
        </w:rPr>
        <w:t>community</w:t>
      </w:r>
      <w:r w:rsidR="00DC2D40" w:rsidRPr="00DC2D40">
        <w:rPr>
          <w:rFonts w:eastAsia="Calibri" w:cs="Times New Roman"/>
        </w:rPr>
        <w:t xml:space="preserve"> services. Specifically, immigrants, including new arrivals, are the most at-risk to face systemic barriers often lacking the awareness, knowledge, and skills necessary to apply for available supports and/or utilize the technology increasingly required to access supports. Furthermore, language and cultural barriers, stigma, and the lack of transportation are daily challenges to navigating the health</w:t>
      </w:r>
      <w:r w:rsidR="00ED0D33">
        <w:rPr>
          <w:rFonts w:eastAsia="Calibri" w:cs="Times New Roman"/>
        </w:rPr>
        <w:t>care</w:t>
      </w:r>
      <w:r w:rsidR="00DC2D40" w:rsidRPr="00DC2D40">
        <w:rPr>
          <w:rFonts w:eastAsia="Calibri" w:cs="Times New Roman"/>
        </w:rPr>
        <w:t xml:space="preserve"> and social service system.</w:t>
      </w:r>
    </w:p>
    <w:p w14:paraId="1F5AA9CC" w14:textId="77777777" w:rsidR="008961F6" w:rsidRDefault="008961F6" w:rsidP="000A545E">
      <w:pPr>
        <w:spacing w:after="0" w:line="276" w:lineRule="auto"/>
        <w:rPr>
          <w:rFonts w:eastAsia="Calibri" w:cs="Times New Roman"/>
        </w:rPr>
      </w:pPr>
    </w:p>
    <w:p w14:paraId="61723B9E" w14:textId="6D42AC04" w:rsidR="008961F6" w:rsidRPr="008961F6" w:rsidRDefault="008961F6" w:rsidP="000A545E">
      <w:pPr>
        <w:tabs>
          <w:tab w:val="num" w:pos="720"/>
        </w:tabs>
        <w:spacing w:after="0" w:line="276" w:lineRule="auto"/>
        <w:rPr>
          <w:rFonts w:eastAsia="Calibri" w:cs="Times New Roman"/>
        </w:rPr>
      </w:pPr>
      <w:r w:rsidRPr="008961F6">
        <w:rPr>
          <w:rFonts w:eastAsia="Calibri" w:cs="Times New Roman"/>
        </w:rPr>
        <w:t>Barriers to accessing healthcare and social services are well-documented factors in causing health disparities. As such, the CDC includes Healthcare Access and Quality as one of its five social determinants of health, noting that “</w:t>
      </w:r>
      <w:r w:rsidR="00196098">
        <w:rPr>
          <w:rFonts w:eastAsia="Calibri" w:cs="Times New Roman"/>
        </w:rPr>
        <w:t>e</w:t>
      </w:r>
      <w:r w:rsidRPr="008961F6">
        <w:rPr>
          <w:rFonts w:eastAsia="Calibri" w:cs="Times New Roman"/>
        </w:rPr>
        <w:t>xpanding access to services is an important step toward reducing health disparities.”</w:t>
      </w:r>
      <w:r w:rsidRPr="00196098">
        <w:rPr>
          <w:rFonts w:cs="Times New Roman"/>
          <w:vertAlign w:val="superscript"/>
        </w:rPr>
        <w:footnoteReference w:id="2"/>
      </w:r>
      <w:r w:rsidRPr="008961F6">
        <w:rPr>
          <w:rFonts w:eastAsia="Calibri" w:cs="Times New Roman"/>
        </w:rPr>
        <w:t xml:space="preserve"> Populations most noted for experiencing barriers to access include communities of color, low-income populations, persons with disabilities, and those who identify as LGBTQ+. Advisory Committee members shared that, in Waltham, immigrants and new arrivals are among those most likely to experience barriers to accessing services. </w:t>
      </w:r>
      <w:r w:rsidR="00CF2F1D">
        <w:rPr>
          <w:rFonts w:eastAsia="Calibri" w:cs="Times New Roman"/>
        </w:rPr>
        <w:t xml:space="preserve"> </w:t>
      </w:r>
    </w:p>
    <w:p w14:paraId="76660AD7" w14:textId="77777777" w:rsidR="008961F6" w:rsidRPr="008961F6" w:rsidRDefault="008961F6" w:rsidP="008961F6">
      <w:pPr>
        <w:tabs>
          <w:tab w:val="num" w:pos="720"/>
        </w:tabs>
        <w:spacing w:after="0" w:line="240" w:lineRule="auto"/>
        <w:rPr>
          <w:rFonts w:eastAsia="Calibri" w:cs="Times New Roman"/>
        </w:rPr>
      </w:pPr>
    </w:p>
    <w:p w14:paraId="2AC697D1" w14:textId="77777777" w:rsidR="00C77B4C" w:rsidRDefault="00C77B4C">
      <w:pPr>
        <w:rPr>
          <w:rFonts w:eastAsia="Calibri" w:cstheme="majorBidi"/>
          <w:color w:val="0F4761" w:themeColor="accent1" w:themeShade="BF"/>
          <w:sz w:val="28"/>
          <w:szCs w:val="28"/>
        </w:rPr>
      </w:pPr>
      <w:r>
        <w:rPr>
          <w:rFonts w:eastAsia="Calibri"/>
        </w:rPr>
        <w:br w:type="page"/>
      </w:r>
    </w:p>
    <w:p w14:paraId="4D8C3BD0" w14:textId="5A813B23" w:rsidR="00DC2D40" w:rsidRDefault="007E0C9D" w:rsidP="00DC2D40">
      <w:pPr>
        <w:pStyle w:val="Heading3"/>
        <w:rPr>
          <w:rFonts w:eastAsia="Calibri"/>
        </w:rPr>
      </w:pPr>
      <w:r>
        <w:rPr>
          <w:rFonts w:eastAsia="Calibri"/>
        </w:rPr>
        <w:lastRenderedPageBreak/>
        <w:t xml:space="preserve">Systemic </w:t>
      </w:r>
      <w:r w:rsidR="00DC2D40" w:rsidRPr="000E6737">
        <w:rPr>
          <w:rFonts w:eastAsia="Calibri"/>
        </w:rPr>
        <w:t>Barriers to be Addressed</w:t>
      </w:r>
    </w:p>
    <w:p w14:paraId="74D74A30" w14:textId="77777777" w:rsidR="00DC2D40" w:rsidRPr="000E6737" w:rsidRDefault="00DC2D40" w:rsidP="00DC2D40">
      <w:pPr>
        <w:pStyle w:val="Heading4"/>
        <w:rPr>
          <w:rFonts w:eastAsia="Calibri" w:cs="Times New Roman"/>
        </w:rPr>
      </w:pPr>
      <w:r w:rsidRPr="000E6737">
        <w:t>Overly complicated processes to access services (e.g., application and administrative complexity)</w:t>
      </w:r>
    </w:p>
    <w:p w14:paraId="536123DD" w14:textId="0D26C002" w:rsidR="00DC2D40" w:rsidRPr="00DC2D40" w:rsidRDefault="00DC2D40" w:rsidP="00DC2D40">
      <w:pPr>
        <w:spacing w:after="0" w:line="240" w:lineRule="auto"/>
        <w:rPr>
          <w:rFonts w:eastAsia="Calibri" w:cs="Times New Roman"/>
        </w:rPr>
      </w:pPr>
      <w:r w:rsidRPr="00DC2D40">
        <w:rPr>
          <w:rFonts w:eastAsia="Calibri" w:cs="Times New Roman"/>
        </w:rPr>
        <w:t xml:space="preserve">In a report entitled, </w:t>
      </w:r>
      <w:r w:rsidRPr="00DC2D40">
        <w:rPr>
          <w:rFonts w:eastAsia="Calibri" w:cs="Times New Roman"/>
          <w:i/>
          <w:iCs/>
        </w:rPr>
        <w:t>Customer Service Experiences and Enrollment Difficulties Vary Widely across Safety Net Programs</w:t>
      </w:r>
      <w:r w:rsidRPr="00DC2D40">
        <w:rPr>
          <w:rFonts w:eastAsia="Calibri" w:cs="Times New Roman"/>
        </w:rPr>
        <w:t>, the Urban Institute found that “many adults whose families applied for or received benefits experienced enrollment-related challenges or negative interactions with program staff, with wide variation across programs and worse experiences for some groups that have endured long-standing inequities in</w:t>
      </w:r>
      <w:r w:rsidR="00196098">
        <w:rPr>
          <w:rFonts w:eastAsia="Calibri" w:cs="Times New Roman"/>
        </w:rPr>
        <w:t xml:space="preserve"> </w:t>
      </w:r>
      <w:r w:rsidRPr="00DC2D40">
        <w:rPr>
          <w:rFonts w:eastAsia="Calibri" w:cs="Times New Roman"/>
        </w:rPr>
        <w:t>economic opportunities, health care, and access to benefits and services in federal programs. Understanding eligibility is often just the first hurdle that people must overcome in accessing the safety net. Many people who qualify for benefits also struggle to navigate complicated administrative processes.”</w:t>
      </w:r>
      <w:r w:rsidRPr="00DC2D40">
        <w:rPr>
          <w:rStyle w:val="FootnoteReference"/>
          <w:rFonts w:eastAsia="Calibri" w:cs="Times New Roman"/>
        </w:rPr>
        <w:footnoteReference w:id="3"/>
      </w:r>
      <w:r w:rsidRPr="00DC2D40">
        <w:rPr>
          <w:rFonts w:eastAsia="Calibri" w:cs="Times New Roman"/>
        </w:rPr>
        <w:t xml:space="preserve"> The report further noted that barriers, such as difficulty determining eligibility, providing required documentation, or getting benefits when needed, were significantly higher among the Hispanic/Latinx community. Although the report does not specify barriers experienced by immigrant communities, </w:t>
      </w:r>
      <w:r w:rsidR="00196098">
        <w:rPr>
          <w:rFonts w:eastAsia="Calibri" w:cs="Times New Roman"/>
        </w:rPr>
        <w:t>Waltham Advisory C</w:t>
      </w:r>
      <w:r w:rsidRPr="00DC2D40">
        <w:rPr>
          <w:rFonts w:eastAsia="Calibri" w:cs="Times New Roman"/>
        </w:rPr>
        <w:t xml:space="preserve">ommittee members noted that complicated processes are more difficult for immigrant families and new arrivals in Waltham due to cultural barriers and more restrictive eligibility rules for noncitizens. </w:t>
      </w:r>
    </w:p>
    <w:p w14:paraId="50A9A469" w14:textId="77777777" w:rsidR="00DC2D40" w:rsidRPr="00DC2D40" w:rsidRDefault="00DC2D40" w:rsidP="00DC2D40">
      <w:pPr>
        <w:spacing w:after="0" w:line="240" w:lineRule="auto"/>
        <w:rPr>
          <w:rFonts w:eastAsia="Calibri" w:cs="Times New Roman"/>
        </w:rPr>
      </w:pPr>
    </w:p>
    <w:p w14:paraId="171539CC" w14:textId="77777777" w:rsidR="00DC2D40" w:rsidRPr="00DC2D40" w:rsidRDefault="00DC2D40" w:rsidP="00DC2D40">
      <w:pPr>
        <w:pStyle w:val="Heading4"/>
        <w:rPr>
          <w:rFonts w:eastAsia="Calibri" w:cs="Times New Roman"/>
        </w:rPr>
      </w:pPr>
      <w:r w:rsidRPr="00DC2D40">
        <w:t>Cultural barriers, including language access, cultural appropriateness, and stigma</w:t>
      </w:r>
      <w:r w:rsidRPr="00DC2D40">
        <w:rPr>
          <w:rFonts w:eastAsia="Calibri" w:cs="Times New Roman"/>
        </w:rPr>
        <w:t xml:space="preserve"> </w:t>
      </w:r>
    </w:p>
    <w:p w14:paraId="2456FEEF" w14:textId="767E1ACF" w:rsidR="00DC2D40" w:rsidRPr="00DC2D40" w:rsidRDefault="00DC2D40" w:rsidP="00DC2D40">
      <w:pPr>
        <w:spacing w:after="0" w:line="240" w:lineRule="auto"/>
        <w:rPr>
          <w:rFonts w:eastAsia="Calibri" w:cs="Times New Roman"/>
        </w:rPr>
      </w:pPr>
      <w:r w:rsidRPr="00DC2D40">
        <w:rPr>
          <w:rFonts w:eastAsia="Calibri" w:cs="Times New Roman"/>
        </w:rPr>
        <w:t xml:space="preserve">Immigrants and new arrivals face a host of cultural barriers to accessing </w:t>
      </w:r>
      <w:r w:rsidR="00ED0D33">
        <w:rPr>
          <w:rFonts w:eastAsia="Calibri" w:cs="Times New Roman"/>
        </w:rPr>
        <w:t>health</w:t>
      </w:r>
      <w:r w:rsidRPr="00DC2D40">
        <w:rPr>
          <w:rFonts w:eastAsia="Calibri" w:cs="Times New Roman"/>
        </w:rPr>
        <w:t xml:space="preserve">care and </w:t>
      </w:r>
      <w:r w:rsidR="00ED0D33">
        <w:rPr>
          <w:rFonts w:eastAsia="Calibri" w:cs="Times New Roman"/>
        </w:rPr>
        <w:t xml:space="preserve">social </w:t>
      </w:r>
      <w:r w:rsidRPr="00DC2D40">
        <w:rPr>
          <w:rFonts w:eastAsia="Calibri" w:cs="Times New Roman"/>
        </w:rPr>
        <w:t>services. Immigrant families, including new arrivals, come from cultures with traditions and health practices that may differ from Western approaches.</w:t>
      </w:r>
      <w:r w:rsidRPr="00DC2D40">
        <w:rPr>
          <w:rStyle w:val="FootnoteReference"/>
          <w:rFonts w:eastAsia="Calibri" w:cs="Times New Roman"/>
        </w:rPr>
        <w:footnoteReference w:id="4"/>
      </w:r>
      <w:r w:rsidRPr="00DC2D40">
        <w:rPr>
          <w:rFonts w:eastAsia="Calibri" w:cs="Times New Roman"/>
        </w:rPr>
        <w:t xml:space="preserve"> Differences in cultural norms are exacerbated when language barriers between providers and clients results in confusion and suspicion about available services.</w:t>
      </w:r>
      <w:r w:rsidRPr="00DC2D40">
        <w:rPr>
          <w:rStyle w:val="FootnoteReference"/>
          <w:rFonts w:eastAsia="Calibri" w:cs="Times New Roman"/>
        </w:rPr>
        <w:footnoteReference w:id="5"/>
      </w:r>
      <w:r w:rsidRPr="00DC2D40">
        <w:rPr>
          <w:rFonts w:eastAsia="Calibri" w:cs="Times New Roman"/>
        </w:rPr>
        <w:t xml:space="preserve"> Furthermore, a study of barriers and facilitators to healthcare and social services among undocumented Latino(a)/Latinx immigrant clients found that “language and/or cultural incongruence of staff/clinicians and uninviting, insensitive facility environments were reported to be potential barriers to timely and effective services.”</w:t>
      </w:r>
      <w:r w:rsidRPr="00DC2D40">
        <w:rPr>
          <w:rStyle w:val="FootnoteReference"/>
          <w:rFonts w:eastAsia="Calibri" w:cs="Times New Roman"/>
        </w:rPr>
        <w:footnoteReference w:id="6"/>
      </w:r>
      <w:r w:rsidRPr="00DC2D40">
        <w:rPr>
          <w:rFonts w:eastAsia="Calibri" w:cs="Times New Roman"/>
        </w:rPr>
        <w:t xml:space="preserve"> The study recommended that facilities “explore alternate avenues to service provision such as use of telemedicine, home visits by providers, and the use of community health workers to deliver healthcare and other services to clients’ doorsteps” and ”establishing/maintaining trust and rapport, prioritizing the presence of culturally and linguistically congruent staff, and providing quality, affordable and comprehensive services in an open and inviting environment are specific strategies that can facilitate access, as well as promote and improve timely and effective provision of services among undocumented clients.”</w:t>
      </w:r>
    </w:p>
    <w:p w14:paraId="387ED6AA" w14:textId="77777777" w:rsidR="00DC2D40" w:rsidRPr="00DC2D40" w:rsidRDefault="00DC2D40" w:rsidP="00DC2D40">
      <w:pPr>
        <w:spacing w:after="0" w:line="240" w:lineRule="auto"/>
        <w:rPr>
          <w:u w:val="single"/>
        </w:rPr>
      </w:pPr>
    </w:p>
    <w:p w14:paraId="74FE084E" w14:textId="77777777" w:rsidR="00DC2D40" w:rsidRPr="00DC2D40" w:rsidRDefault="00DC2D40" w:rsidP="00DC2D40">
      <w:pPr>
        <w:pStyle w:val="Heading4"/>
        <w:rPr>
          <w:rFonts w:eastAsia="Calibri" w:cs="Times New Roman"/>
        </w:rPr>
      </w:pPr>
      <w:r w:rsidRPr="00DC2D40">
        <w:t>Technological barriers, including the lack of devices, internet, and skills to utilize technology</w:t>
      </w:r>
    </w:p>
    <w:p w14:paraId="50917C4A" w14:textId="77777777" w:rsidR="00DC2D40" w:rsidRPr="00DC2D40" w:rsidRDefault="00DC2D40" w:rsidP="00DC2D40">
      <w:pPr>
        <w:spacing w:after="0" w:line="240" w:lineRule="auto"/>
        <w:rPr>
          <w:rFonts w:eastAsia="Calibri" w:cs="Times New Roman"/>
        </w:rPr>
      </w:pPr>
      <w:r w:rsidRPr="00DC2D40">
        <w:rPr>
          <w:rFonts w:eastAsia="Calibri" w:cs="Times New Roman"/>
        </w:rPr>
        <w:t>The COVID-19 pandemic required healthcare and social service providers to quickly adopt technological approaches to maintaining connections with patients and clients. These new approaches surfaced the reality of “digital exclusion” for many under-resourced and vulnerable populations. Digital exclusion refers to not being able to access the benefits of technology, including utilizing cell phones and personal computers to lacking access to broadband internet and lacking digital literacy.</w:t>
      </w:r>
      <w:r w:rsidRPr="00DC2D40">
        <w:rPr>
          <w:rStyle w:val="FootnoteReference"/>
          <w:rFonts w:eastAsia="Calibri" w:cs="Times New Roman"/>
        </w:rPr>
        <w:footnoteReference w:id="7"/>
      </w:r>
      <w:r w:rsidRPr="00DC2D40">
        <w:rPr>
          <w:rFonts w:eastAsia="Calibri" w:cs="Times New Roman"/>
        </w:rPr>
        <w:t xml:space="preserve"> Addressing digital </w:t>
      </w:r>
      <w:r w:rsidRPr="00DC2D40">
        <w:rPr>
          <w:rFonts w:eastAsia="Calibri" w:cs="Times New Roman"/>
        </w:rPr>
        <w:lastRenderedPageBreak/>
        <w:t>exclusion has the potential to reduce health disparities or curb growth in disparities between those who have skills and access to digital tools and those who do not. As such, digital inclusion is being referred to as a “super” social determinant of health because digital access is connected to all other social determinants.</w:t>
      </w:r>
      <w:r w:rsidRPr="00DC2D40">
        <w:rPr>
          <w:rStyle w:val="FootnoteReference"/>
          <w:rFonts w:eastAsia="Calibri" w:cs="Times New Roman"/>
        </w:rPr>
        <w:footnoteReference w:id="8"/>
      </w:r>
      <w:r w:rsidRPr="00DC2D40">
        <w:rPr>
          <w:rFonts w:eastAsia="Calibri" w:cs="Times New Roman"/>
          <w:vertAlign w:val="superscript"/>
        </w:rPr>
        <w:t>,</w:t>
      </w:r>
      <w:r w:rsidRPr="00DC2D40">
        <w:rPr>
          <w:rStyle w:val="FootnoteReference"/>
          <w:rFonts w:eastAsia="Calibri" w:cs="Times New Roman"/>
        </w:rPr>
        <w:footnoteReference w:id="9"/>
      </w:r>
      <w:r w:rsidRPr="00DC2D40">
        <w:rPr>
          <w:rFonts w:eastAsia="Calibri" w:cs="Times New Roman"/>
        </w:rPr>
        <w:t xml:space="preserve"> For example, applications of all types (e.g., employment, education, housing, recreational services, food, transportation assistance, etc.) and access to healthcare (e.g., patient portals, telehealth, scheduling, etc.) are increasingly, if not exclusively, accessible online.</w:t>
      </w:r>
    </w:p>
    <w:p w14:paraId="785A08B5" w14:textId="77777777" w:rsidR="00DC2D40" w:rsidRPr="00DC2D40" w:rsidRDefault="00DC2D40" w:rsidP="00DC2D40">
      <w:pPr>
        <w:tabs>
          <w:tab w:val="num" w:pos="720"/>
        </w:tabs>
        <w:spacing w:after="0" w:line="240" w:lineRule="auto"/>
        <w:rPr>
          <w:rFonts w:eastAsia="Calibri" w:cs="Times New Roman"/>
        </w:rPr>
      </w:pPr>
    </w:p>
    <w:p w14:paraId="632D7F8D" w14:textId="606A93A3" w:rsidR="00DC2D40" w:rsidRPr="00DC2D40" w:rsidRDefault="00DC2D40" w:rsidP="00DC2D40">
      <w:pPr>
        <w:tabs>
          <w:tab w:val="num" w:pos="720"/>
        </w:tabs>
        <w:spacing w:after="0" w:line="240" w:lineRule="auto"/>
        <w:rPr>
          <w:rFonts w:eastAsia="Calibri" w:cs="Times New Roman"/>
        </w:rPr>
      </w:pPr>
      <w:r w:rsidRPr="00DC2D40">
        <w:rPr>
          <w:rFonts w:eastAsia="Calibri" w:cs="Times New Roman"/>
        </w:rPr>
        <w:t>Digital exclusion is associated with income, age, disability status, and geographic location.</w:t>
      </w:r>
      <w:r w:rsidRPr="00DC2D40">
        <w:rPr>
          <w:rStyle w:val="FootnoteReference"/>
          <w:rFonts w:eastAsia="Calibri" w:cs="Times New Roman"/>
        </w:rPr>
        <w:footnoteReference w:id="10"/>
      </w:r>
      <w:r w:rsidRPr="00DC2D40">
        <w:rPr>
          <w:rFonts w:eastAsia="Calibri" w:cs="Times New Roman"/>
        </w:rPr>
        <w:t xml:space="preserve"> Although not frequently mentioned in the literature, immigrants, including new arrivals, also experience digital exclusion. In a study entitled, </w:t>
      </w:r>
      <w:r w:rsidRPr="00DC2D40">
        <w:rPr>
          <w:rFonts w:eastAsia="Calibri" w:cs="Times New Roman"/>
          <w:i/>
          <w:iCs/>
        </w:rPr>
        <w:t>Examining Gaps in Digital Inclusion in Massachusetts</w:t>
      </w:r>
      <w:r w:rsidRPr="00DC2D40">
        <w:rPr>
          <w:rFonts w:eastAsia="Calibri" w:cs="Times New Roman"/>
        </w:rPr>
        <w:t>, the American Immigration Council found that “Immigrants were more likely to lack broadband internet access than those born in the United</w:t>
      </w:r>
      <w:r w:rsidR="00C77B4C">
        <w:rPr>
          <w:rFonts w:eastAsia="Calibri" w:cs="Times New Roman"/>
        </w:rPr>
        <w:t xml:space="preserve"> </w:t>
      </w:r>
      <w:r w:rsidRPr="00DC2D40">
        <w:rPr>
          <w:rFonts w:eastAsia="Calibri" w:cs="Times New Roman"/>
        </w:rPr>
        <w:t>States.”</w:t>
      </w:r>
      <w:r w:rsidRPr="00DC2D40">
        <w:rPr>
          <w:rStyle w:val="FootnoteReference"/>
          <w:rFonts w:eastAsia="Calibri" w:cs="Times New Roman"/>
        </w:rPr>
        <w:footnoteReference w:id="11"/>
      </w:r>
      <w:r w:rsidRPr="00DC2D40">
        <w:rPr>
          <w:rStyle w:val="FootnoteReference"/>
        </w:rPr>
        <w:t xml:space="preserve"> </w:t>
      </w:r>
      <w:r w:rsidRPr="00DC2D40">
        <w:rPr>
          <w:rFonts w:eastAsia="Calibri" w:cs="Times New Roman"/>
        </w:rPr>
        <w:t xml:space="preserve">The report further noted that immigrants also lack access to digital tools (i.e., computer or tablet), making it difficult to “develop and maintain digital literacy or access the information and services increasingly offered online.” </w:t>
      </w:r>
    </w:p>
    <w:p w14:paraId="638339B5" w14:textId="77777777" w:rsidR="00DC2D40" w:rsidRPr="00DC2D40" w:rsidRDefault="00DC2D40" w:rsidP="00DC2D40">
      <w:pPr>
        <w:tabs>
          <w:tab w:val="num" w:pos="720"/>
        </w:tabs>
        <w:spacing w:after="0" w:line="240" w:lineRule="auto"/>
        <w:rPr>
          <w:rFonts w:eastAsia="Calibri" w:cs="Times New Roman"/>
        </w:rPr>
      </w:pPr>
    </w:p>
    <w:p w14:paraId="3C49CDC3" w14:textId="77777777" w:rsidR="00DC2D40" w:rsidRPr="00DC2D40" w:rsidRDefault="00DC2D40" w:rsidP="00DC2D40">
      <w:pPr>
        <w:pStyle w:val="Heading4"/>
        <w:rPr>
          <w:rFonts w:eastAsia="Calibri" w:cs="Times New Roman"/>
        </w:rPr>
      </w:pPr>
      <w:r w:rsidRPr="00DC2D40">
        <w:t>Transportation barriers</w:t>
      </w:r>
    </w:p>
    <w:p w14:paraId="76679917" w14:textId="77777777" w:rsidR="00DC2D40" w:rsidRPr="00DC2D40" w:rsidRDefault="00DC2D40" w:rsidP="00DC2D40">
      <w:pPr>
        <w:tabs>
          <w:tab w:val="num" w:pos="720"/>
        </w:tabs>
        <w:spacing w:after="0" w:line="240" w:lineRule="auto"/>
        <w:rPr>
          <w:rFonts w:eastAsia="Calibri"/>
        </w:rPr>
      </w:pPr>
      <w:r w:rsidRPr="00DC2D40">
        <w:rPr>
          <w:rFonts w:eastAsia="Calibri" w:cs="Times New Roman"/>
        </w:rPr>
        <w:t>Transportation barriers often disproportionately affect individuals and families with low incomes, creating access barriers that can be detrimental to health and wellbeing.</w:t>
      </w:r>
      <w:r w:rsidRPr="00DC2D40">
        <w:rPr>
          <w:rFonts w:cs="Times New Roman"/>
          <w:vertAlign w:val="superscript"/>
        </w:rPr>
        <w:footnoteReference w:id="12"/>
      </w:r>
      <w:r w:rsidRPr="00DC2D40">
        <w:rPr>
          <w:rFonts w:eastAsia="Calibri" w:cs="Times New Roman"/>
        </w:rPr>
        <w:t> The effect of transportation barriers on health, however, is not limited to accessing medical care. The lack of transportation also impacts other social determinants of health, including access to healthy food, pharmacies, employment, education, social supports, and other basic services.</w:t>
      </w:r>
      <w:r w:rsidRPr="00DC2D40">
        <w:rPr>
          <w:rFonts w:cs="Times New Roman"/>
          <w:vertAlign w:val="superscript"/>
        </w:rPr>
        <w:footnoteReference w:id="13"/>
      </w:r>
      <w:r w:rsidRPr="00DC2D40">
        <w:rPr>
          <w:rFonts w:eastAsia="Calibri" w:cs="Times New Roman"/>
        </w:rPr>
        <w:t xml:space="preserve"> The Centers for Medicare and Medicaid Services suggest a range of options to reduce transportation barriers among enrollees, which may be applied to broader populations. Interventions include providing funds for gas or car repairs or providing non-medical transportation to access social services, community centers, and grocery stores.</w:t>
      </w:r>
      <w:r w:rsidRPr="00DC2D40">
        <w:rPr>
          <w:rFonts w:cs="Times New Roman"/>
          <w:vertAlign w:val="superscript"/>
        </w:rPr>
        <w:footnoteReference w:id="14"/>
      </w:r>
      <w:r w:rsidRPr="00DC2D40">
        <w:rPr>
          <w:rFonts w:eastAsia="Calibri" w:cs="Times New Roman"/>
          <w:vertAlign w:val="superscript"/>
        </w:rPr>
        <w:t xml:space="preserve"> </w:t>
      </w:r>
      <w:r w:rsidRPr="00DC2D40">
        <w:rPr>
          <w:rFonts w:eastAsia="Calibri" w:cs="Times New Roman"/>
        </w:rPr>
        <w:t>In addition to facilitating access through the provision of transportation, studies suggest that bringing healthcare and other services (e.g., mobile clinics and mobile food pantries) to easily accessible locations is an effective way to improve health outcomes</w:t>
      </w:r>
      <w:r w:rsidRPr="00DC2D40">
        <w:rPr>
          <w:rFonts w:eastAsia="Calibri"/>
        </w:rPr>
        <w:t>.</w:t>
      </w:r>
      <w:r w:rsidRPr="00DC2D40">
        <w:rPr>
          <w:rStyle w:val="FootnoteReference"/>
          <w:rFonts w:eastAsia="Calibri"/>
        </w:rPr>
        <w:footnoteReference w:id="15"/>
      </w:r>
      <w:r w:rsidRPr="00DC2D40">
        <w:rPr>
          <w:rFonts w:eastAsia="Calibri"/>
          <w:vertAlign w:val="superscript"/>
        </w:rPr>
        <w:t>,</w:t>
      </w:r>
      <w:r w:rsidRPr="00DC2D40">
        <w:rPr>
          <w:rStyle w:val="FootnoteReference"/>
          <w:rFonts w:eastAsia="Calibri"/>
        </w:rPr>
        <w:footnoteReference w:id="16"/>
      </w:r>
      <w:r w:rsidRPr="00DC2D40">
        <w:rPr>
          <w:rFonts w:eastAsia="Calibri"/>
          <w:vertAlign w:val="superscript"/>
        </w:rPr>
        <w:t xml:space="preserve"> ,</w:t>
      </w:r>
      <w:r w:rsidRPr="00DC2D40">
        <w:rPr>
          <w:rStyle w:val="FootnoteReference"/>
          <w:rFonts w:eastAsia="Calibri"/>
        </w:rPr>
        <w:footnoteReference w:id="17"/>
      </w:r>
    </w:p>
    <w:p w14:paraId="7F68ECBB" w14:textId="77777777" w:rsidR="00DC2D40" w:rsidRDefault="00DC2D40" w:rsidP="00DC2D40">
      <w:pPr>
        <w:spacing w:after="0" w:line="240" w:lineRule="auto"/>
        <w:rPr>
          <w:rFonts w:eastAsia="Calibri"/>
        </w:rPr>
      </w:pPr>
    </w:p>
    <w:p w14:paraId="221BDA3E" w14:textId="77777777" w:rsidR="00DC2D40" w:rsidRDefault="00DC2D40" w:rsidP="00DC2D40">
      <w:pPr>
        <w:pStyle w:val="Heading1"/>
        <w:spacing w:before="0" w:after="0"/>
        <w:rPr>
          <w:rFonts w:asciiTheme="minorHAnsi" w:eastAsia="Calibri" w:hAnsiTheme="minorHAnsi" w:cstheme="minorHAnsi"/>
          <w:b/>
          <w:sz w:val="24"/>
          <w:szCs w:val="24"/>
        </w:rPr>
      </w:pPr>
    </w:p>
    <w:p w14:paraId="324FE820" w14:textId="22636DAD" w:rsidR="008961F6" w:rsidRDefault="008961F6">
      <w:r>
        <w:br w:type="page"/>
      </w:r>
    </w:p>
    <w:p w14:paraId="79F3403D" w14:textId="2328A5E1" w:rsidR="00220EC5" w:rsidRDefault="00220EC5" w:rsidP="00220EC5">
      <w:pPr>
        <w:pStyle w:val="Heading1"/>
        <w:rPr>
          <w:rFonts w:eastAsia="Calibri"/>
        </w:rPr>
      </w:pPr>
      <w:r>
        <w:rPr>
          <w:rFonts w:eastAsia="Calibri"/>
        </w:rPr>
        <w:lastRenderedPageBreak/>
        <w:t>P</w:t>
      </w:r>
      <w:r w:rsidR="00C53ED9">
        <w:rPr>
          <w:rFonts w:eastAsia="Calibri"/>
        </w:rPr>
        <w:t>URPOSE</w:t>
      </w:r>
    </w:p>
    <w:p w14:paraId="0807E473" w14:textId="1A46022A" w:rsidR="00220EC5" w:rsidRDefault="00220EC5" w:rsidP="00220EC5">
      <w:pPr>
        <w:spacing w:line="276" w:lineRule="auto"/>
        <w:rPr>
          <w:rFonts w:cstheme="minorHAnsi"/>
        </w:rPr>
      </w:pPr>
      <w:r w:rsidRPr="00220EC5">
        <w:rPr>
          <w:rFonts w:eastAsia="Calibri" w:cstheme="minorHAnsi"/>
        </w:rPr>
        <w:t xml:space="preserve">NWH is seeking proposals for a CHI utilizing </w:t>
      </w:r>
      <w:r w:rsidRPr="00281820">
        <w:rPr>
          <w:rFonts w:eastAsia="Calibri" w:cstheme="minorHAnsi"/>
          <w:b/>
          <w:bCs/>
        </w:rPr>
        <w:t xml:space="preserve">policy, systems, or environmental (PSE) change </w:t>
      </w:r>
      <w:r w:rsidRPr="00281820">
        <w:rPr>
          <w:rFonts w:cstheme="minorHAnsi"/>
          <w:b/>
          <w:bCs/>
        </w:rPr>
        <w:t xml:space="preserve">approaches </w:t>
      </w:r>
      <w:r w:rsidR="00742BAD">
        <w:rPr>
          <w:rFonts w:cstheme="minorHAnsi"/>
        </w:rPr>
        <w:t>to i</w:t>
      </w:r>
      <w:r w:rsidR="00742BAD" w:rsidRPr="00DC2D40">
        <w:rPr>
          <w:rFonts w:cstheme="minorHAnsi"/>
        </w:rPr>
        <w:t>mprove access to the continuum of Waltham community services that support health and well-being</w:t>
      </w:r>
      <w:r w:rsidR="00742BAD">
        <w:rPr>
          <w:rFonts w:cstheme="minorHAnsi"/>
        </w:rPr>
        <w:t xml:space="preserve"> by </w:t>
      </w:r>
      <w:r w:rsidRPr="00281820">
        <w:rPr>
          <w:rFonts w:cstheme="minorHAnsi"/>
          <w:b/>
          <w:bCs/>
        </w:rPr>
        <w:t>reduc</w:t>
      </w:r>
      <w:r w:rsidR="00742BAD">
        <w:rPr>
          <w:rFonts w:cstheme="minorHAnsi"/>
          <w:b/>
          <w:bCs/>
        </w:rPr>
        <w:t>ing</w:t>
      </w:r>
      <w:r w:rsidRPr="00281820">
        <w:rPr>
          <w:rFonts w:cstheme="minorHAnsi"/>
          <w:b/>
          <w:bCs/>
        </w:rPr>
        <w:t xml:space="preserve"> systemic barriers</w:t>
      </w:r>
      <w:r w:rsidRPr="00DC2D40">
        <w:rPr>
          <w:rFonts w:cstheme="minorHAnsi"/>
        </w:rPr>
        <w:t xml:space="preserve"> to care commonly experienced by vulnerable populations across the life span</w:t>
      </w:r>
      <w:r w:rsidR="00742BAD">
        <w:rPr>
          <w:rFonts w:cstheme="minorHAnsi"/>
        </w:rPr>
        <w:t>.</w:t>
      </w:r>
      <w:r w:rsidRPr="00DC2D40">
        <w:rPr>
          <w:rFonts w:cstheme="minorHAnsi"/>
        </w:rPr>
        <w:t xml:space="preserve"> </w:t>
      </w:r>
    </w:p>
    <w:p w14:paraId="102F06D9" w14:textId="77265DC3" w:rsidR="00281820" w:rsidRDefault="00281820" w:rsidP="00220EC5">
      <w:pPr>
        <w:spacing w:line="276" w:lineRule="auto"/>
        <w:rPr>
          <w:rFonts w:eastAsia="Calibri" w:cstheme="minorHAnsi"/>
        </w:rPr>
      </w:pPr>
      <w:r w:rsidRPr="004175A5">
        <w:t xml:space="preserve">The </w:t>
      </w:r>
      <w:r w:rsidRPr="00F26EB1">
        <w:rPr>
          <w:b/>
          <w:bCs/>
        </w:rPr>
        <w:t>priority population</w:t>
      </w:r>
      <w:r w:rsidRPr="004175A5">
        <w:t xml:space="preserve"> </w:t>
      </w:r>
      <w:r>
        <w:t>for</w:t>
      </w:r>
      <w:r w:rsidRPr="004175A5">
        <w:t xml:space="preserve"> the </w:t>
      </w:r>
      <w:r w:rsidRPr="004175A5">
        <w:rPr>
          <w:i/>
          <w:iCs/>
        </w:rPr>
        <w:t>Community Connections CHI</w:t>
      </w:r>
      <w:r w:rsidRPr="004175A5">
        <w:t xml:space="preserve"> includes individuals or families facing systemic barriers to essential services and supports, with a focus on communities of color, immigrant communities, and recent arrivals to Waltham.</w:t>
      </w:r>
    </w:p>
    <w:p w14:paraId="10768331" w14:textId="4FBF1642" w:rsidR="00742BAD" w:rsidRDefault="00220EC5" w:rsidP="00742BAD">
      <w:pPr>
        <w:spacing w:line="276" w:lineRule="auto"/>
        <w:rPr>
          <w:rFonts w:eastAsia="Calibri" w:cstheme="minorHAnsi"/>
        </w:rPr>
      </w:pPr>
      <w:r w:rsidRPr="00CF2F1D">
        <w:rPr>
          <w:rFonts w:eastAsia="Calibri" w:cstheme="minorHAnsi"/>
        </w:rPr>
        <w:t xml:space="preserve">The </w:t>
      </w:r>
      <w:r w:rsidRPr="00F26EB1">
        <w:rPr>
          <w:rFonts w:eastAsia="Calibri" w:cstheme="minorHAnsi"/>
          <w:b/>
          <w:bCs/>
        </w:rPr>
        <w:t>goal</w:t>
      </w:r>
      <w:r w:rsidRPr="00CF2F1D">
        <w:rPr>
          <w:rFonts w:eastAsia="Calibri" w:cstheme="minorHAnsi"/>
        </w:rPr>
        <w:t xml:space="preserve"> of the </w:t>
      </w:r>
      <w:r w:rsidRPr="00CF2F1D">
        <w:rPr>
          <w:rFonts w:eastAsia="Calibri" w:cstheme="minorHAnsi"/>
          <w:i/>
          <w:iCs/>
        </w:rPr>
        <w:t>Community Connections</w:t>
      </w:r>
      <w:r w:rsidRPr="00CF2F1D">
        <w:rPr>
          <w:rFonts w:eastAsia="Calibri" w:cstheme="minorHAnsi"/>
        </w:rPr>
        <w:t xml:space="preserve"> </w:t>
      </w:r>
      <w:r w:rsidRPr="00C27A56">
        <w:rPr>
          <w:rFonts w:eastAsia="Calibri" w:cstheme="minorHAnsi"/>
          <w:i/>
          <w:iCs/>
        </w:rPr>
        <w:t>CHI</w:t>
      </w:r>
      <w:r w:rsidRPr="00CF2F1D">
        <w:rPr>
          <w:rFonts w:eastAsia="Calibri" w:cstheme="minorHAnsi"/>
        </w:rPr>
        <w:t xml:space="preserve"> </w:t>
      </w:r>
      <w:r w:rsidR="00742BAD">
        <w:rPr>
          <w:rFonts w:eastAsia="Calibri" w:cstheme="minorHAnsi"/>
        </w:rPr>
        <w:t>is to i</w:t>
      </w:r>
      <w:r w:rsidR="00742BAD" w:rsidRPr="00AB7D93">
        <w:rPr>
          <w:rFonts w:eastAsia="Calibri" w:cstheme="minorHAnsi"/>
        </w:rPr>
        <w:t>ncrease</w:t>
      </w:r>
      <w:r w:rsidRPr="00AB7D93">
        <w:rPr>
          <w:rFonts w:eastAsia="Calibri" w:cstheme="minorHAnsi"/>
        </w:rPr>
        <w:t xml:space="preserve"> access to </w:t>
      </w:r>
      <w:r w:rsidR="00AB7D93" w:rsidRPr="00AB7D93">
        <w:rPr>
          <w:rFonts w:eastAsia="Calibri" w:cstheme="minorHAnsi"/>
        </w:rPr>
        <w:t>the continuum</w:t>
      </w:r>
      <w:r w:rsidR="00AB7D93" w:rsidRPr="00AB7D93">
        <w:rPr>
          <w:rFonts w:cstheme="minorHAnsi"/>
        </w:rPr>
        <w:t xml:space="preserve"> of Waltham </w:t>
      </w:r>
      <w:r w:rsidR="0058084C" w:rsidRPr="00AB7D93">
        <w:rPr>
          <w:rFonts w:cstheme="minorHAnsi"/>
        </w:rPr>
        <w:t>c</w:t>
      </w:r>
      <w:r w:rsidR="0058084C">
        <w:rPr>
          <w:rFonts w:cstheme="minorHAnsi"/>
        </w:rPr>
        <w:t xml:space="preserve">ommunity </w:t>
      </w:r>
      <w:r w:rsidR="0058084C" w:rsidRPr="00AB7D93">
        <w:rPr>
          <w:rFonts w:cstheme="minorHAnsi"/>
        </w:rPr>
        <w:t>services</w:t>
      </w:r>
      <w:r w:rsidR="00AB7D93" w:rsidRPr="00AB7D93">
        <w:rPr>
          <w:rFonts w:eastAsia="Calibri" w:cstheme="minorHAnsi"/>
        </w:rPr>
        <w:t xml:space="preserve"> </w:t>
      </w:r>
      <w:r w:rsidR="00CF2F1D" w:rsidRPr="00AB7D93">
        <w:rPr>
          <w:rFonts w:eastAsia="Calibri" w:cstheme="minorHAnsi"/>
        </w:rPr>
        <w:t>that support healthy living</w:t>
      </w:r>
      <w:r w:rsidR="00AB7D93" w:rsidRPr="00AB7D93">
        <w:rPr>
          <w:rFonts w:eastAsia="Calibri" w:cstheme="minorHAnsi"/>
        </w:rPr>
        <w:t xml:space="preserve">, such </w:t>
      </w:r>
      <w:r w:rsidR="00AB7D93">
        <w:rPr>
          <w:rFonts w:eastAsia="Calibri" w:cstheme="minorHAnsi"/>
        </w:rPr>
        <w:t>as</w:t>
      </w:r>
      <w:r w:rsidR="00742BAD">
        <w:rPr>
          <w:rFonts w:eastAsia="Calibri" w:cstheme="minorHAnsi"/>
        </w:rPr>
        <w:t xml:space="preserve"> increasing access to:</w:t>
      </w:r>
    </w:p>
    <w:p w14:paraId="199F1264" w14:textId="7088DBFD" w:rsidR="00742BAD" w:rsidRDefault="00B87AC0" w:rsidP="00742BAD">
      <w:pPr>
        <w:pStyle w:val="ListParagraph"/>
        <w:numPr>
          <w:ilvl w:val="0"/>
          <w:numId w:val="16"/>
        </w:numPr>
        <w:spacing w:line="276" w:lineRule="auto"/>
        <w:rPr>
          <w:rFonts w:eastAsia="Calibri" w:cstheme="minorHAnsi"/>
        </w:rPr>
      </w:pPr>
      <w:r>
        <w:rPr>
          <w:rFonts w:eastAsia="Calibri" w:cstheme="minorHAnsi"/>
        </w:rPr>
        <w:t>H</w:t>
      </w:r>
      <w:r w:rsidR="00AB7D93" w:rsidRPr="00742BAD">
        <w:rPr>
          <w:rFonts w:eastAsia="Calibri" w:cstheme="minorHAnsi"/>
        </w:rPr>
        <w:t>ealthy, culturally appropriate food</w:t>
      </w:r>
      <w:r w:rsidR="0058084C">
        <w:rPr>
          <w:rFonts w:eastAsia="Calibri" w:cstheme="minorHAnsi"/>
        </w:rPr>
        <w:t xml:space="preserve"> and other basic needs</w:t>
      </w:r>
    </w:p>
    <w:p w14:paraId="1A11B6E1" w14:textId="50C07549" w:rsidR="00742BAD" w:rsidRDefault="00B87AC0" w:rsidP="00742BAD">
      <w:pPr>
        <w:pStyle w:val="ListParagraph"/>
        <w:numPr>
          <w:ilvl w:val="0"/>
          <w:numId w:val="16"/>
        </w:numPr>
        <w:spacing w:line="276" w:lineRule="auto"/>
        <w:rPr>
          <w:rFonts w:eastAsia="Calibri" w:cstheme="minorHAnsi"/>
        </w:rPr>
      </w:pPr>
      <w:r>
        <w:rPr>
          <w:rFonts w:eastAsia="Calibri" w:cstheme="minorHAnsi"/>
        </w:rPr>
        <w:t>C</w:t>
      </w:r>
      <w:r w:rsidR="00742BAD">
        <w:rPr>
          <w:rFonts w:eastAsia="Calibri" w:cstheme="minorHAnsi"/>
        </w:rPr>
        <w:t>ommunity-based social services (e.g., housing, immigration, employment, education</w:t>
      </w:r>
      <w:r w:rsidR="0058084C">
        <w:rPr>
          <w:rFonts w:eastAsia="Calibri" w:cstheme="minorHAnsi"/>
        </w:rPr>
        <w:t>, etc.</w:t>
      </w:r>
      <w:r w:rsidR="00742BAD">
        <w:rPr>
          <w:rFonts w:eastAsia="Calibri" w:cstheme="minorHAnsi"/>
        </w:rPr>
        <w:t>)</w:t>
      </w:r>
    </w:p>
    <w:p w14:paraId="47881619" w14:textId="440F7065" w:rsidR="007E0C9D" w:rsidRPr="0058084C" w:rsidRDefault="00B87AC0" w:rsidP="00220EC5">
      <w:pPr>
        <w:pStyle w:val="ListParagraph"/>
        <w:numPr>
          <w:ilvl w:val="0"/>
          <w:numId w:val="16"/>
        </w:numPr>
        <w:spacing w:after="0" w:line="240" w:lineRule="auto"/>
      </w:pPr>
      <w:r>
        <w:rPr>
          <w:rFonts w:eastAsia="Calibri" w:cstheme="minorHAnsi"/>
        </w:rPr>
        <w:t>H</w:t>
      </w:r>
      <w:r w:rsidR="00AB7D93" w:rsidRPr="0058084C">
        <w:rPr>
          <w:rFonts w:eastAsia="Calibri" w:cstheme="minorHAnsi"/>
        </w:rPr>
        <w:t>ealth</w:t>
      </w:r>
      <w:r w:rsidR="00742BAD" w:rsidRPr="0058084C">
        <w:rPr>
          <w:rFonts w:eastAsia="Calibri" w:cstheme="minorHAnsi"/>
        </w:rPr>
        <w:t xml:space="preserve"> and mental health </w:t>
      </w:r>
      <w:r w:rsidR="00AB7D93" w:rsidRPr="0058084C">
        <w:rPr>
          <w:rFonts w:eastAsia="Calibri" w:cstheme="minorHAnsi"/>
        </w:rPr>
        <w:t>care</w:t>
      </w:r>
    </w:p>
    <w:p w14:paraId="6FEF657E" w14:textId="77777777" w:rsidR="0058084C" w:rsidRDefault="0058084C" w:rsidP="0058084C">
      <w:pPr>
        <w:pStyle w:val="ListParagraph"/>
        <w:spacing w:after="0" w:line="240" w:lineRule="auto"/>
      </w:pPr>
    </w:p>
    <w:p w14:paraId="124F3858" w14:textId="15E8051E" w:rsidR="00220EC5" w:rsidRPr="00CF2F1D" w:rsidRDefault="00CF2F1D" w:rsidP="00220EC5">
      <w:pPr>
        <w:spacing w:after="0" w:line="240" w:lineRule="auto"/>
      </w:pPr>
      <w:r w:rsidRPr="00CF2F1D">
        <w:t xml:space="preserve">Specifically, </w:t>
      </w:r>
      <w:r w:rsidR="004175A5">
        <w:t>applicants are expected to propose PSE</w:t>
      </w:r>
      <w:r w:rsidRPr="00CF2F1D">
        <w:t xml:space="preserve"> </w:t>
      </w:r>
      <w:r w:rsidR="004175A5">
        <w:t xml:space="preserve">approaches </w:t>
      </w:r>
      <w:r w:rsidRPr="00CF2F1D">
        <w:t>that dismantle</w:t>
      </w:r>
      <w:r w:rsidR="00220EC5" w:rsidRPr="00CF2F1D">
        <w:t xml:space="preserve"> systemic barriers to accessing services and </w:t>
      </w:r>
      <w:r w:rsidR="007E0C9D" w:rsidRPr="00CF2F1D">
        <w:t>support</w:t>
      </w:r>
      <w:r w:rsidR="00220EC5" w:rsidRPr="00CF2F1D">
        <w:t xml:space="preserve"> through </w:t>
      </w:r>
      <w:r w:rsidR="004175A5">
        <w:t xml:space="preserve">strategies that </w:t>
      </w:r>
      <w:r w:rsidR="00220EC5" w:rsidRPr="00F26EB1">
        <w:rPr>
          <w:b/>
          <w:bCs/>
        </w:rPr>
        <w:t>reduc</w:t>
      </w:r>
      <w:r w:rsidR="004175A5" w:rsidRPr="00F26EB1">
        <w:rPr>
          <w:b/>
          <w:bCs/>
        </w:rPr>
        <w:t>e</w:t>
      </w:r>
      <w:r w:rsidR="00220EC5" w:rsidRPr="00CF2F1D">
        <w:t>:</w:t>
      </w:r>
    </w:p>
    <w:p w14:paraId="043143C4" w14:textId="77777777" w:rsidR="00220EC5" w:rsidRPr="00CF2F1D" w:rsidRDefault="00220EC5" w:rsidP="007E0C9D">
      <w:pPr>
        <w:pStyle w:val="ListParagraph"/>
        <w:numPr>
          <w:ilvl w:val="0"/>
          <w:numId w:val="4"/>
        </w:numPr>
        <w:spacing w:before="120" w:after="0" w:line="276" w:lineRule="auto"/>
        <w:rPr>
          <w:rFonts w:eastAsia="Calibri" w:cstheme="minorHAnsi"/>
        </w:rPr>
      </w:pPr>
      <w:r w:rsidRPr="00CF2F1D">
        <w:rPr>
          <w:rFonts w:eastAsia="Calibri" w:cstheme="minorHAnsi"/>
        </w:rPr>
        <w:t>Burden of overly complicated processes to access services (e.g., application and administrative complexity)</w:t>
      </w:r>
    </w:p>
    <w:p w14:paraId="710167BA" w14:textId="77777777" w:rsidR="00220EC5" w:rsidRPr="00CF2F1D" w:rsidRDefault="00220EC5" w:rsidP="007E0C9D">
      <w:pPr>
        <w:pStyle w:val="ListParagraph"/>
        <w:numPr>
          <w:ilvl w:val="0"/>
          <w:numId w:val="4"/>
        </w:numPr>
        <w:spacing w:before="120" w:after="0" w:line="276" w:lineRule="auto"/>
        <w:rPr>
          <w:rFonts w:eastAsia="Calibri" w:cstheme="minorHAnsi"/>
        </w:rPr>
      </w:pPr>
      <w:r w:rsidRPr="00CF2F1D">
        <w:rPr>
          <w:rFonts w:eastAsia="Calibri" w:cstheme="minorHAnsi"/>
        </w:rPr>
        <w:t>Cultural barriers, including language access, cultural appropriateness, and stigma</w:t>
      </w:r>
    </w:p>
    <w:p w14:paraId="5DF54D3E" w14:textId="77777777" w:rsidR="00220EC5" w:rsidRPr="00CF2F1D" w:rsidRDefault="00220EC5" w:rsidP="007E0C9D">
      <w:pPr>
        <w:pStyle w:val="ListParagraph"/>
        <w:numPr>
          <w:ilvl w:val="0"/>
          <w:numId w:val="4"/>
        </w:numPr>
        <w:spacing w:before="120" w:after="0" w:line="276" w:lineRule="auto"/>
        <w:rPr>
          <w:rFonts w:eastAsia="Calibri" w:cstheme="minorHAnsi"/>
        </w:rPr>
      </w:pPr>
      <w:r w:rsidRPr="00CF2F1D">
        <w:rPr>
          <w:rFonts w:eastAsia="Calibri" w:cstheme="minorHAnsi"/>
        </w:rPr>
        <w:t>Technological barriers, including devices, internet, and skills to utilize technology</w:t>
      </w:r>
    </w:p>
    <w:p w14:paraId="26A13B56" w14:textId="41AA6EE3" w:rsidR="00220EC5" w:rsidRPr="00CF2F1D" w:rsidRDefault="00220EC5" w:rsidP="007E0C9D">
      <w:pPr>
        <w:pStyle w:val="ListParagraph"/>
        <w:numPr>
          <w:ilvl w:val="0"/>
          <w:numId w:val="4"/>
        </w:numPr>
        <w:spacing w:before="120" w:after="0" w:line="276" w:lineRule="auto"/>
        <w:rPr>
          <w:u w:val="single"/>
        </w:rPr>
      </w:pPr>
      <w:r w:rsidRPr="00CF2F1D">
        <w:rPr>
          <w:rFonts w:eastAsia="Calibri" w:cstheme="minorHAnsi"/>
        </w:rPr>
        <w:t>Transportation barriers</w:t>
      </w:r>
    </w:p>
    <w:p w14:paraId="55B788F6" w14:textId="77777777" w:rsidR="007E0C9D" w:rsidRDefault="007E0C9D" w:rsidP="00220EC5">
      <w:pPr>
        <w:spacing w:after="0" w:line="240" w:lineRule="auto"/>
      </w:pPr>
    </w:p>
    <w:p w14:paraId="1F980421" w14:textId="029C746C" w:rsidR="002F14F4" w:rsidRPr="004C2B9A" w:rsidRDefault="002F14F4" w:rsidP="00C53ED9">
      <w:pPr>
        <w:pStyle w:val="Heading1"/>
      </w:pPr>
      <w:r w:rsidRPr="004C2B9A">
        <w:t>Participation in Evaluation</w:t>
      </w:r>
    </w:p>
    <w:p w14:paraId="25E31C17" w14:textId="77777777" w:rsidR="002F14F4" w:rsidRPr="002F14F4" w:rsidRDefault="002F14F4" w:rsidP="002F14F4">
      <w:pPr>
        <w:pStyle w:val="BodyText"/>
        <w:spacing w:line="276" w:lineRule="auto"/>
        <w:ind w:right="189"/>
        <w:rPr>
          <w:rFonts w:asciiTheme="minorHAnsi" w:hAnsiTheme="minorHAnsi" w:cstheme="minorHAnsi"/>
          <w:sz w:val="22"/>
          <w:szCs w:val="22"/>
        </w:rPr>
      </w:pPr>
      <w:r w:rsidRPr="002F14F4">
        <w:rPr>
          <w:rFonts w:asciiTheme="minorHAnsi" w:hAnsiTheme="minorHAnsi" w:cstheme="minorHAnsi"/>
          <w:sz w:val="22"/>
          <w:szCs w:val="22"/>
        </w:rPr>
        <w:t xml:space="preserve">NWH has contracted with the University of Massachusetts Donahue Institute (UMDI) to </w:t>
      </w:r>
      <w:proofErr w:type="gramStart"/>
      <w:r w:rsidRPr="002F14F4">
        <w:rPr>
          <w:rFonts w:asciiTheme="minorHAnsi" w:hAnsiTheme="minorHAnsi" w:cstheme="minorHAnsi"/>
          <w:sz w:val="22"/>
          <w:szCs w:val="22"/>
        </w:rPr>
        <w:t>provide assistance</w:t>
      </w:r>
      <w:proofErr w:type="gramEnd"/>
      <w:r w:rsidRPr="002F14F4">
        <w:rPr>
          <w:rFonts w:asciiTheme="minorHAnsi" w:hAnsiTheme="minorHAnsi" w:cstheme="minorHAnsi"/>
          <w:sz w:val="22"/>
          <w:szCs w:val="22"/>
        </w:rPr>
        <w:t xml:space="preserve"> with evaluating this CHI. Evaluation of this effort will be designed to:</w:t>
      </w:r>
    </w:p>
    <w:p w14:paraId="14B95761" w14:textId="77777777" w:rsidR="002F14F4" w:rsidRPr="002F14F4" w:rsidRDefault="002F14F4" w:rsidP="002F14F4">
      <w:pPr>
        <w:pStyle w:val="ListParagraph"/>
        <w:numPr>
          <w:ilvl w:val="0"/>
          <w:numId w:val="12"/>
        </w:numPr>
        <w:tabs>
          <w:tab w:val="left" w:pos="360"/>
        </w:tabs>
        <w:spacing w:before="120" w:after="0" w:line="276" w:lineRule="auto"/>
        <w:ind w:left="446"/>
        <w:contextualSpacing w:val="0"/>
        <w:rPr>
          <w:rFonts w:cstheme="minorHAnsi"/>
        </w:rPr>
      </w:pPr>
      <w:r w:rsidRPr="002F14F4">
        <w:rPr>
          <w:rFonts w:cstheme="minorHAnsi"/>
        </w:rPr>
        <w:t>Inform future practice and innovation by monitoring and documenting the process of grant implementation</w:t>
      </w:r>
    </w:p>
    <w:p w14:paraId="2559E07C" w14:textId="77777777" w:rsidR="002F14F4" w:rsidRPr="002F14F4" w:rsidRDefault="002F14F4" w:rsidP="002F14F4">
      <w:pPr>
        <w:pStyle w:val="ListParagraph"/>
        <w:numPr>
          <w:ilvl w:val="0"/>
          <w:numId w:val="12"/>
        </w:numPr>
        <w:tabs>
          <w:tab w:val="left" w:pos="360"/>
        </w:tabs>
        <w:spacing w:before="120" w:after="0" w:line="276" w:lineRule="auto"/>
        <w:ind w:left="446"/>
        <w:contextualSpacing w:val="0"/>
        <w:rPr>
          <w:rFonts w:cstheme="minorHAnsi"/>
        </w:rPr>
      </w:pPr>
      <w:r w:rsidRPr="002F14F4">
        <w:rPr>
          <w:rFonts w:cstheme="minorHAnsi"/>
        </w:rPr>
        <w:t>Assess impact on inequities and outcomes at key points in the grant</w:t>
      </w:r>
      <w:r w:rsidRPr="002F14F4">
        <w:rPr>
          <w:rFonts w:cstheme="minorHAnsi"/>
          <w:spacing w:val="-17"/>
        </w:rPr>
        <w:t xml:space="preserve"> </w:t>
      </w:r>
      <w:r w:rsidRPr="002F14F4">
        <w:rPr>
          <w:rFonts w:cstheme="minorHAnsi"/>
        </w:rPr>
        <w:t>process</w:t>
      </w:r>
    </w:p>
    <w:p w14:paraId="31D9D545" w14:textId="77777777" w:rsidR="002F14F4" w:rsidRDefault="002F14F4" w:rsidP="002F14F4">
      <w:pPr>
        <w:pStyle w:val="BodyText"/>
        <w:spacing w:line="276" w:lineRule="auto"/>
        <w:ind w:left="90" w:right="189"/>
        <w:rPr>
          <w:rFonts w:asciiTheme="minorHAnsi" w:hAnsiTheme="minorHAnsi" w:cstheme="minorHAnsi"/>
          <w:sz w:val="22"/>
          <w:szCs w:val="22"/>
        </w:rPr>
      </w:pPr>
    </w:p>
    <w:p w14:paraId="653E93B9" w14:textId="77777777" w:rsidR="00AB7D93" w:rsidRDefault="002F14F4" w:rsidP="002F14F4">
      <w:pPr>
        <w:pStyle w:val="BodyText"/>
        <w:spacing w:line="276" w:lineRule="auto"/>
        <w:ind w:left="90" w:right="189"/>
        <w:rPr>
          <w:rFonts w:asciiTheme="minorHAnsi" w:hAnsiTheme="minorHAnsi" w:cstheme="minorHAnsi"/>
          <w:sz w:val="22"/>
          <w:szCs w:val="22"/>
        </w:rPr>
      </w:pPr>
      <w:r w:rsidRPr="002F14F4">
        <w:rPr>
          <w:rFonts w:asciiTheme="minorHAnsi" w:hAnsiTheme="minorHAnsi" w:cstheme="minorHAnsi"/>
          <w:sz w:val="22"/>
          <w:szCs w:val="22"/>
        </w:rPr>
        <w:t xml:space="preserve">The applicant must commit to working with UMDI to develop an evaluation plan, collect process and outcome data, submit data, and participate in regular evaluation meetings to review progress. </w:t>
      </w:r>
    </w:p>
    <w:p w14:paraId="611D584A" w14:textId="77777777" w:rsidR="00AB7D93" w:rsidRDefault="00AB7D93">
      <w:pPr>
        <w:rPr>
          <w:rFonts w:eastAsia="Times New Roman" w:cstheme="minorHAnsi"/>
          <w:kern w:val="0"/>
          <w:lang w:bidi="en-US"/>
        </w:rPr>
      </w:pPr>
      <w:r>
        <w:rPr>
          <w:rFonts w:cstheme="minorHAnsi"/>
        </w:rPr>
        <w:br w:type="page"/>
      </w:r>
    </w:p>
    <w:p w14:paraId="69BBF9F5" w14:textId="580D3EDE" w:rsidR="004175A5" w:rsidRDefault="004175A5" w:rsidP="004175A5">
      <w:pPr>
        <w:pStyle w:val="Heading1"/>
      </w:pPr>
      <w:r>
        <w:lastRenderedPageBreak/>
        <w:t>F</w:t>
      </w:r>
      <w:r w:rsidR="00C53ED9">
        <w:t>UNDING</w:t>
      </w:r>
    </w:p>
    <w:p w14:paraId="5A8C324D" w14:textId="6935C61D" w:rsidR="00B87AC0" w:rsidRDefault="00B55BFB" w:rsidP="004175A5">
      <w:pPr>
        <w:pStyle w:val="BodyText"/>
        <w:spacing w:line="276" w:lineRule="auto"/>
        <w:ind w:right="162"/>
        <w:rPr>
          <w:rStyle w:val="CommentReference"/>
          <w:rFonts w:eastAsiaTheme="minorHAnsi" w:cstheme="minorBidi"/>
          <w:kern w:val="2"/>
          <w:lang w:bidi="ar-SA"/>
        </w:rPr>
      </w:pPr>
      <w:r>
        <w:rPr>
          <w:rFonts w:asciiTheme="minorHAnsi" w:hAnsiTheme="minorHAnsi" w:cstheme="minorHAnsi"/>
          <w:sz w:val="22"/>
          <w:szCs w:val="22"/>
        </w:rPr>
        <w:t>B</w:t>
      </w:r>
      <w:r w:rsidR="004175A5" w:rsidRPr="00DC2D40">
        <w:rPr>
          <w:rFonts w:asciiTheme="minorHAnsi" w:hAnsiTheme="minorHAnsi" w:cstheme="minorHAnsi"/>
          <w:sz w:val="22"/>
          <w:szCs w:val="22"/>
        </w:rPr>
        <w:t xml:space="preserve">eginning in April 2025, NWH will invest $692,595 in </w:t>
      </w:r>
      <w:r w:rsidR="004175A5">
        <w:rPr>
          <w:rFonts w:asciiTheme="minorHAnsi" w:hAnsiTheme="minorHAnsi" w:cstheme="minorHAnsi"/>
          <w:sz w:val="22"/>
          <w:szCs w:val="22"/>
        </w:rPr>
        <w:t>a project</w:t>
      </w:r>
      <w:r w:rsidR="004175A5" w:rsidRPr="00DC2D40">
        <w:rPr>
          <w:rFonts w:asciiTheme="minorHAnsi" w:hAnsiTheme="minorHAnsi" w:cstheme="minorHAnsi"/>
          <w:sz w:val="22"/>
          <w:szCs w:val="22"/>
        </w:rPr>
        <w:t xml:space="preserve"> designed to address systemic barriers to accessing services and supports. Through this R</w:t>
      </w:r>
      <w:r w:rsidR="004175A5">
        <w:rPr>
          <w:rFonts w:asciiTheme="minorHAnsi" w:hAnsiTheme="minorHAnsi" w:cstheme="minorHAnsi"/>
          <w:sz w:val="22"/>
          <w:szCs w:val="22"/>
        </w:rPr>
        <w:t>FP</w:t>
      </w:r>
      <w:r w:rsidR="004175A5" w:rsidRPr="00DC2D40">
        <w:rPr>
          <w:rFonts w:asciiTheme="minorHAnsi" w:hAnsiTheme="minorHAnsi" w:cstheme="minorHAnsi"/>
          <w:sz w:val="22"/>
          <w:szCs w:val="22"/>
        </w:rPr>
        <w:t xml:space="preserve">, NWH anticipates awarding </w:t>
      </w:r>
      <w:r w:rsidR="004175A5" w:rsidRPr="00DC2D40">
        <w:rPr>
          <w:rFonts w:asciiTheme="minorHAnsi" w:hAnsiTheme="minorHAnsi" w:cstheme="minorHAnsi"/>
          <w:sz w:val="22"/>
          <w:szCs w:val="22"/>
          <w:u w:val="single"/>
        </w:rPr>
        <w:t>one</w:t>
      </w:r>
      <w:r w:rsidR="004175A5" w:rsidRPr="00DC2D40">
        <w:rPr>
          <w:rFonts w:asciiTheme="minorHAnsi" w:hAnsiTheme="minorHAnsi" w:cstheme="minorHAnsi"/>
          <w:sz w:val="22"/>
          <w:szCs w:val="22"/>
        </w:rPr>
        <w:t xml:space="preserve"> grant to a community-based organization or collaborative of organizations. </w:t>
      </w:r>
      <w:r>
        <w:rPr>
          <w:rFonts w:asciiTheme="minorHAnsi" w:hAnsiTheme="minorHAnsi" w:cstheme="minorHAnsi"/>
          <w:sz w:val="22"/>
          <w:szCs w:val="22"/>
        </w:rPr>
        <w:br/>
      </w:r>
      <w:r>
        <w:rPr>
          <w:rFonts w:asciiTheme="minorHAnsi" w:hAnsiTheme="minorHAnsi" w:cstheme="minorHAnsi"/>
          <w:sz w:val="22"/>
          <w:szCs w:val="22"/>
        </w:rPr>
        <w:br/>
      </w:r>
      <w:bookmarkStart w:id="0" w:name="_Hlk184744488"/>
      <w:r>
        <w:rPr>
          <w:rFonts w:asciiTheme="minorHAnsi" w:hAnsiTheme="minorHAnsi" w:cstheme="minorHAnsi"/>
          <w:sz w:val="22"/>
          <w:szCs w:val="22"/>
        </w:rPr>
        <w:t xml:space="preserve">Applicants may propose projects lasting two, three, or four years. Regardless of the length of the project, the total proposed </w:t>
      </w:r>
      <w:r w:rsidR="00B22F48">
        <w:rPr>
          <w:rFonts w:asciiTheme="minorHAnsi" w:hAnsiTheme="minorHAnsi" w:cstheme="minorHAnsi"/>
          <w:sz w:val="22"/>
          <w:szCs w:val="22"/>
        </w:rPr>
        <w:t xml:space="preserve">budget </w:t>
      </w:r>
      <w:r>
        <w:rPr>
          <w:rFonts w:asciiTheme="minorHAnsi" w:hAnsiTheme="minorHAnsi" w:cstheme="minorHAnsi"/>
          <w:sz w:val="22"/>
          <w:szCs w:val="22"/>
        </w:rPr>
        <w:t>amount may not exceed $692,595.</w:t>
      </w:r>
      <w:r w:rsidR="00B87AC0">
        <w:rPr>
          <w:rFonts w:asciiTheme="minorHAnsi" w:hAnsiTheme="minorHAnsi" w:cstheme="minorHAnsi"/>
          <w:sz w:val="22"/>
          <w:szCs w:val="22"/>
        </w:rPr>
        <w:t xml:space="preserve">  </w:t>
      </w:r>
      <w:r w:rsidR="00B22F48">
        <w:rPr>
          <w:rFonts w:asciiTheme="minorHAnsi" w:hAnsiTheme="minorHAnsi" w:cstheme="minorHAnsi"/>
          <w:sz w:val="22"/>
          <w:szCs w:val="22"/>
        </w:rPr>
        <w:t xml:space="preserve">Although applicants may spread the total amount of funding across years according to the resources needed to implement the project, there is a cap on the amount that may be budgeted in Year 1. </w:t>
      </w:r>
      <w:r w:rsidR="00B87AC0" w:rsidRPr="00B87AC0">
        <w:rPr>
          <w:rFonts w:asciiTheme="minorHAnsi" w:hAnsiTheme="minorHAnsi" w:cstheme="minorHAnsi"/>
          <w:sz w:val="22"/>
          <w:szCs w:val="22"/>
        </w:rPr>
        <w:t xml:space="preserve"> </w:t>
      </w:r>
      <w:r w:rsidR="00B87AC0" w:rsidRPr="00B87AC0">
        <w:rPr>
          <w:rStyle w:val="cf01"/>
          <w:rFonts w:asciiTheme="minorHAnsi" w:eastAsiaTheme="majorEastAsia" w:hAnsiTheme="minorHAnsi"/>
          <w:sz w:val="22"/>
          <w:szCs w:val="22"/>
        </w:rPr>
        <w:t xml:space="preserve">For a 2-year project, the Year 1 budget </w:t>
      </w:r>
      <w:r w:rsidR="00B22F48">
        <w:rPr>
          <w:rStyle w:val="cf01"/>
          <w:rFonts w:asciiTheme="minorHAnsi" w:eastAsiaTheme="majorEastAsia" w:hAnsiTheme="minorHAnsi"/>
          <w:sz w:val="22"/>
          <w:szCs w:val="22"/>
        </w:rPr>
        <w:t xml:space="preserve">amount </w:t>
      </w:r>
      <w:r w:rsidR="00B87AC0" w:rsidRPr="00B87AC0">
        <w:rPr>
          <w:rStyle w:val="cf01"/>
          <w:rFonts w:asciiTheme="minorHAnsi" w:eastAsiaTheme="majorEastAsia" w:hAnsiTheme="minorHAnsi"/>
          <w:sz w:val="22"/>
          <w:szCs w:val="22"/>
        </w:rPr>
        <w:t xml:space="preserve">may not exceed $346,000. For a 3-year project, the Year 1 budget amount may not exceed $230,000. For a 4-year budget, the Year 1 budget amount may not exceed $173,000. </w:t>
      </w:r>
      <w:r w:rsidR="00B22F48">
        <w:rPr>
          <w:rStyle w:val="cf01"/>
          <w:rFonts w:asciiTheme="minorHAnsi" w:eastAsiaTheme="majorEastAsia" w:hAnsiTheme="minorHAnsi"/>
          <w:sz w:val="22"/>
          <w:szCs w:val="22"/>
        </w:rPr>
        <w:t xml:space="preserve">Applicants are not required to use the full amount allowable in Year 1, but they may not exceed it. </w:t>
      </w:r>
      <w:bookmarkEnd w:id="0"/>
    </w:p>
    <w:p w14:paraId="661DEBA0" w14:textId="61D2A57C" w:rsidR="00F26EB1" w:rsidRDefault="00B87AC0" w:rsidP="004175A5">
      <w:pPr>
        <w:pStyle w:val="BodyText"/>
        <w:spacing w:line="276" w:lineRule="auto"/>
        <w:ind w:right="162"/>
        <w:rPr>
          <w:rFonts w:asciiTheme="minorHAnsi" w:hAnsiTheme="minorHAnsi" w:cstheme="minorHAnsi"/>
          <w:sz w:val="22"/>
          <w:szCs w:val="22"/>
        </w:rPr>
      </w:pPr>
      <w:r>
        <w:rPr>
          <w:rFonts w:asciiTheme="minorHAnsi" w:hAnsiTheme="minorHAnsi" w:cstheme="minorHAnsi"/>
          <w:sz w:val="22"/>
          <w:szCs w:val="22"/>
        </w:rPr>
        <w:t xml:space="preserve"> </w:t>
      </w:r>
      <w:r w:rsidR="00B55BFB">
        <w:rPr>
          <w:rFonts w:asciiTheme="minorHAnsi" w:hAnsiTheme="minorHAnsi" w:cstheme="minorHAnsi"/>
          <w:sz w:val="22"/>
          <w:szCs w:val="22"/>
        </w:rPr>
        <w:br/>
      </w:r>
      <w:r w:rsidR="00F62A11">
        <w:rPr>
          <w:rFonts w:asciiTheme="minorHAnsi" w:hAnsiTheme="minorHAnsi" w:cstheme="minorHAnsi"/>
          <w:sz w:val="22"/>
          <w:szCs w:val="22"/>
        </w:rPr>
        <w:t>Although this CHI is not meant to support direct service provision, a</w:t>
      </w:r>
      <w:r w:rsidR="004175A5" w:rsidRPr="004175A5">
        <w:rPr>
          <w:rFonts w:asciiTheme="minorHAnsi" w:hAnsiTheme="minorHAnsi" w:cstheme="minorHAnsi"/>
          <w:sz w:val="22"/>
          <w:szCs w:val="22"/>
        </w:rPr>
        <w:t>pplicants may propose spending a maximum of</w:t>
      </w:r>
      <w:r w:rsidR="00220EC5" w:rsidRPr="004175A5">
        <w:rPr>
          <w:rFonts w:asciiTheme="minorHAnsi" w:hAnsiTheme="minorHAnsi" w:cstheme="minorHAnsi"/>
          <w:sz w:val="22"/>
          <w:szCs w:val="22"/>
        </w:rPr>
        <w:t xml:space="preserve"> $50,000 </w:t>
      </w:r>
      <w:r w:rsidR="004175A5" w:rsidRPr="004175A5">
        <w:rPr>
          <w:rFonts w:asciiTheme="minorHAnsi" w:hAnsiTheme="minorHAnsi" w:cstheme="minorHAnsi"/>
          <w:sz w:val="22"/>
          <w:szCs w:val="22"/>
        </w:rPr>
        <w:t xml:space="preserve">each year </w:t>
      </w:r>
      <w:r w:rsidR="00F62A11">
        <w:rPr>
          <w:rFonts w:asciiTheme="minorHAnsi" w:hAnsiTheme="minorHAnsi" w:cstheme="minorHAnsi"/>
          <w:sz w:val="22"/>
          <w:szCs w:val="22"/>
        </w:rPr>
        <w:t xml:space="preserve">to provide </w:t>
      </w:r>
      <w:r w:rsidR="00AB7D93">
        <w:rPr>
          <w:rFonts w:asciiTheme="minorHAnsi" w:hAnsiTheme="minorHAnsi" w:cstheme="minorHAnsi"/>
          <w:sz w:val="22"/>
          <w:szCs w:val="22"/>
        </w:rPr>
        <w:t xml:space="preserve">direct </w:t>
      </w:r>
      <w:r w:rsidR="00220EC5" w:rsidRPr="004175A5">
        <w:rPr>
          <w:rFonts w:asciiTheme="minorHAnsi" w:hAnsiTheme="minorHAnsi" w:cstheme="minorHAnsi"/>
          <w:sz w:val="22"/>
          <w:szCs w:val="22"/>
        </w:rPr>
        <w:t>transportation</w:t>
      </w:r>
      <w:r w:rsidR="00AB7D93">
        <w:rPr>
          <w:rFonts w:asciiTheme="minorHAnsi" w:hAnsiTheme="minorHAnsi" w:cstheme="minorHAnsi"/>
          <w:sz w:val="22"/>
          <w:szCs w:val="22"/>
        </w:rPr>
        <w:t xml:space="preserve"> services</w:t>
      </w:r>
      <w:r w:rsidR="00667B01">
        <w:rPr>
          <w:rFonts w:asciiTheme="minorHAnsi" w:hAnsiTheme="minorHAnsi" w:cstheme="minorHAnsi"/>
          <w:sz w:val="22"/>
          <w:szCs w:val="22"/>
        </w:rPr>
        <w:t xml:space="preserve">. These funds </w:t>
      </w:r>
      <w:r w:rsidR="00F62A11">
        <w:rPr>
          <w:rFonts w:asciiTheme="minorHAnsi" w:hAnsiTheme="minorHAnsi" w:cstheme="minorHAnsi"/>
          <w:sz w:val="22"/>
          <w:szCs w:val="22"/>
        </w:rPr>
        <w:t xml:space="preserve">may support strategies such as </w:t>
      </w:r>
      <w:r w:rsidR="00753176">
        <w:rPr>
          <w:rFonts w:asciiTheme="minorHAnsi" w:hAnsiTheme="minorHAnsi" w:cstheme="minorHAnsi"/>
          <w:sz w:val="22"/>
          <w:szCs w:val="22"/>
        </w:rPr>
        <w:t xml:space="preserve">public and private </w:t>
      </w:r>
      <w:r w:rsidR="00220EC5" w:rsidRPr="004175A5">
        <w:rPr>
          <w:rFonts w:asciiTheme="minorHAnsi" w:hAnsiTheme="minorHAnsi" w:cstheme="minorHAnsi"/>
          <w:sz w:val="22"/>
          <w:szCs w:val="22"/>
        </w:rPr>
        <w:t>transportation vouchers</w:t>
      </w:r>
      <w:r w:rsidR="00753176">
        <w:rPr>
          <w:rFonts w:asciiTheme="minorHAnsi" w:hAnsiTheme="minorHAnsi" w:cstheme="minorHAnsi"/>
          <w:sz w:val="22"/>
          <w:szCs w:val="22"/>
        </w:rPr>
        <w:t xml:space="preserve">. </w:t>
      </w:r>
      <w:r w:rsidR="00220EC5" w:rsidRPr="004175A5">
        <w:rPr>
          <w:rFonts w:asciiTheme="minorHAnsi" w:hAnsiTheme="minorHAnsi" w:cstheme="minorHAnsi"/>
          <w:sz w:val="22"/>
          <w:szCs w:val="22"/>
        </w:rPr>
        <w:t>All other funds must be used to implement policy, systems, or environmental change approaches to reducing one or more of the identified</w:t>
      </w:r>
      <w:r w:rsidR="004175A5" w:rsidRPr="004175A5">
        <w:rPr>
          <w:rFonts w:asciiTheme="minorHAnsi" w:hAnsiTheme="minorHAnsi" w:cstheme="minorHAnsi"/>
          <w:sz w:val="22"/>
          <w:szCs w:val="22"/>
        </w:rPr>
        <w:t xml:space="preserve"> systemic</w:t>
      </w:r>
      <w:r w:rsidR="00220EC5" w:rsidRPr="004175A5">
        <w:rPr>
          <w:rFonts w:asciiTheme="minorHAnsi" w:hAnsiTheme="minorHAnsi" w:cstheme="minorHAnsi"/>
          <w:sz w:val="22"/>
          <w:szCs w:val="22"/>
        </w:rPr>
        <w:t xml:space="preserve"> barriers to </w:t>
      </w:r>
      <w:r w:rsidR="004175A5" w:rsidRPr="004175A5">
        <w:rPr>
          <w:rFonts w:asciiTheme="minorHAnsi" w:hAnsiTheme="minorHAnsi" w:cstheme="minorHAnsi"/>
          <w:sz w:val="22"/>
          <w:szCs w:val="22"/>
        </w:rPr>
        <w:t>services</w:t>
      </w:r>
      <w:r w:rsidR="00220EC5" w:rsidRPr="004175A5">
        <w:rPr>
          <w:rFonts w:asciiTheme="minorHAnsi" w:hAnsiTheme="minorHAnsi" w:cstheme="minorHAnsi"/>
          <w:sz w:val="22"/>
          <w:szCs w:val="22"/>
        </w:rPr>
        <w:t xml:space="preserve">. </w:t>
      </w:r>
      <w:r w:rsidR="00220EC5" w:rsidRPr="004175A5">
        <w:rPr>
          <w:rFonts w:asciiTheme="minorHAnsi" w:hAnsiTheme="minorHAnsi" w:cstheme="minorHAnsi"/>
          <w:sz w:val="22"/>
          <w:szCs w:val="22"/>
        </w:rPr>
        <w:br/>
      </w:r>
    </w:p>
    <w:p w14:paraId="760E2D2F" w14:textId="77777777" w:rsidR="00F26EB1" w:rsidRPr="00F26EB1" w:rsidRDefault="00F26EB1" w:rsidP="00C53ED9">
      <w:pPr>
        <w:pStyle w:val="Heading2"/>
      </w:pPr>
      <w:r w:rsidRPr="00F26EB1">
        <w:t>Eligible budget items</w:t>
      </w:r>
    </w:p>
    <w:p w14:paraId="18E8670D" w14:textId="77777777" w:rsidR="00F26EB1" w:rsidRPr="002F14F4" w:rsidRDefault="00F26EB1" w:rsidP="00F26EB1">
      <w:pPr>
        <w:pStyle w:val="BodyText"/>
        <w:spacing w:line="276" w:lineRule="auto"/>
        <w:ind w:left="120"/>
        <w:rPr>
          <w:rFonts w:asciiTheme="minorHAnsi" w:hAnsiTheme="minorHAnsi" w:cstheme="minorHAnsi"/>
          <w:sz w:val="22"/>
          <w:szCs w:val="22"/>
        </w:rPr>
      </w:pPr>
      <w:r w:rsidRPr="002F14F4">
        <w:rPr>
          <w:rFonts w:asciiTheme="minorHAnsi" w:hAnsiTheme="minorHAnsi" w:cstheme="minorHAnsi"/>
          <w:sz w:val="22"/>
          <w:szCs w:val="22"/>
        </w:rPr>
        <w:t xml:space="preserve">NWH </w:t>
      </w:r>
      <w:r w:rsidRPr="002F14F4">
        <w:rPr>
          <w:rFonts w:asciiTheme="minorHAnsi" w:hAnsiTheme="minorHAnsi" w:cstheme="minorHAnsi"/>
          <w:b/>
          <w:sz w:val="22"/>
          <w:szCs w:val="22"/>
          <w:u w:val="thick"/>
        </w:rPr>
        <w:t>can</w:t>
      </w:r>
      <w:r w:rsidRPr="002F14F4">
        <w:rPr>
          <w:rFonts w:asciiTheme="minorHAnsi" w:hAnsiTheme="minorHAnsi" w:cstheme="minorHAnsi"/>
          <w:b/>
          <w:sz w:val="22"/>
          <w:szCs w:val="22"/>
        </w:rPr>
        <w:t xml:space="preserve"> </w:t>
      </w:r>
      <w:r w:rsidRPr="002F14F4">
        <w:rPr>
          <w:rFonts w:asciiTheme="minorHAnsi" w:hAnsiTheme="minorHAnsi" w:cstheme="minorHAnsi"/>
          <w:sz w:val="22"/>
          <w:szCs w:val="22"/>
        </w:rPr>
        <w:t>fund:</w:t>
      </w:r>
    </w:p>
    <w:p w14:paraId="26C624AE" w14:textId="77777777" w:rsidR="00F26EB1" w:rsidRPr="002F14F4" w:rsidRDefault="00F26EB1" w:rsidP="002F14F4">
      <w:pPr>
        <w:pStyle w:val="BodyText"/>
        <w:numPr>
          <w:ilvl w:val="1"/>
          <w:numId w:val="13"/>
        </w:numPr>
        <w:spacing w:before="120" w:line="276" w:lineRule="auto"/>
        <w:ind w:left="835"/>
        <w:rPr>
          <w:rFonts w:asciiTheme="minorHAnsi" w:hAnsiTheme="minorHAnsi" w:cstheme="minorHAnsi"/>
          <w:sz w:val="22"/>
          <w:szCs w:val="22"/>
        </w:rPr>
      </w:pPr>
      <w:r w:rsidRPr="002F14F4">
        <w:rPr>
          <w:rFonts w:asciiTheme="minorHAnsi" w:hAnsiTheme="minorHAnsi" w:cstheme="minorHAnsi"/>
          <w:sz w:val="22"/>
          <w:szCs w:val="22"/>
        </w:rPr>
        <w:t>Stipends for community residents with an active role in the proposed</w:t>
      </w:r>
      <w:r w:rsidRPr="002F14F4">
        <w:rPr>
          <w:rFonts w:asciiTheme="minorHAnsi" w:hAnsiTheme="minorHAnsi" w:cstheme="minorHAnsi"/>
          <w:spacing w:val="-7"/>
          <w:sz w:val="22"/>
          <w:szCs w:val="22"/>
        </w:rPr>
        <w:t xml:space="preserve"> </w:t>
      </w:r>
      <w:r w:rsidRPr="002F14F4">
        <w:rPr>
          <w:rFonts w:asciiTheme="minorHAnsi" w:hAnsiTheme="minorHAnsi" w:cstheme="minorHAnsi"/>
          <w:sz w:val="22"/>
          <w:szCs w:val="22"/>
        </w:rPr>
        <w:t>project</w:t>
      </w:r>
    </w:p>
    <w:p w14:paraId="1A7A0194" w14:textId="3732521F" w:rsidR="00F26EB1" w:rsidRPr="002F14F4" w:rsidRDefault="00F26EB1" w:rsidP="002F14F4">
      <w:pPr>
        <w:pStyle w:val="BodyText"/>
        <w:numPr>
          <w:ilvl w:val="1"/>
          <w:numId w:val="13"/>
        </w:numPr>
        <w:spacing w:before="120" w:line="276" w:lineRule="auto"/>
        <w:ind w:left="835"/>
        <w:rPr>
          <w:rFonts w:asciiTheme="minorHAnsi" w:hAnsiTheme="minorHAnsi" w:cstheme="minorHAnsi"/>
          <w:sz w:val="22"/>
          <w:szCs w:val="22"/>
        </w:rPr>
      </w:pPr>
      <w:r w:rsidRPr="002F14F4">
        <w:rPr>
          <w:rFonts w:asciiTheme="minorHAnsi" w:hAnsiTheme="minorHAnsi" w:cstheme="minorHAnsi"/>
          <w:sz w:val="22"/>
          <w:szCs w:val="22"/>
        </w:rPr>
        <w:t xml:space="preserve">A maximum of $50,000 </w:t>
      </w:r>
      <w:r w:rsidR="00753176" w:rsidRPr="004175A5">
        <w:rPr>
          <w:rFonts w:asciiTheme="minorHAnsi" w:hAnsiTheme="minorHAnsi" w:cstheme="minorHAnsi"/>
          <w:sz w:val="22"/>
          <w:szCs w:val="22"/>
        </w:rPr>
        <w:t xml:space="preserve">each year </w:t>
      </w:r>
      <w:r w:rsidR="00753176">
        <w:rPr>
          <w:rFonts w:asciiTheme="minorHAnsi" w:hAnsiTheme="minorHAnsi" w:cstheme="minorHAnsi"/>
          <w:sz w:val="22"/>
          <w:szCs w:val="22"/>
        </w:rPr>
        <w:t xml:space="preserve">to provide direct </w:t>
      </w:r>
      <w:r w:rsidR="00753176" w:rsidRPr="004175A5">
        <w:rPr>
          <w:rFonts w:asciiTheme="minorHAnsi" w:hAnsiTheme="minorHAnsi" w:cstheme="minorHAnsi"/>
          <w:sz w:val="22"/>
          <w:szCs w:val="22"/>
        </w:rPr>
        <w:t>transportation</w:t>
      </w:r>
      <w:r w:rsidR="00753176">
        <w:rPr>
          <w:rFonts w:asciiTheme="minorHAnsi" w:hAnsiTheme="minorHAnsi" w:cstheme="minorHAnsi"/>
          <w:sz w:val="22"/>
          <w:szCs w:val="22"/>
        </w:rPr>
        <w:t xml:space="preserve"> services</w:t>
      </w:r>
    </w:p>
    <w:p w14:paraId="559B407D" w14:textId="77777777" w:rsidR="00F26EB1" w:rsidRPr="002F14F4" w:rsidRDefault="00F26EB1" w:rsidP="002F14F4">
      <w:pPr>
        <w:pStyle w:val="ListParagraph"/>
        <w:widowControl w:val="0"/>
        <w:numPr>
          <w:ilvl w:val="1"/>
          <w:numId w:val="13"/>
        </w:numPr>
        <w:tabs>
          <w:tab w:val="left" w:pos="839"/>
          <w:tab w:val="left" w:pos="840"/>
        </w:tabs>
        <w:autoSpaceDE w:val="0"/>
        <w:autoSpaceDN w:val="0"/>
        <w:spacing w:before="120" w:after="0" w:line="276" w:lineRule="auto"/>
        <w:ind w:left="835" w:right="355"/>
        <w:contextualSpacing w:val="0"/>
        <w:rPr>
          <w:rFonts w:cstheme="minorHAnsi"/>
        </w:rPr>
      </w:pPr>
      <w:r w:rsidRPr="002F14F4">
        <w:rPr>
          <w:rFonts w:cstheme="minorHAnsi"/>
        </w:rPr>
        <w:t>Staffing costs, where the staff time reflected in the proposed project budget is exclusively dedicated</w:t>
      </w:r>
      <w:r w:rsidRPr="002F14F4">
        <w:rPr>
          <w:rFonts w:cstheme="minorHAnsi"/>
          <w:spacing w:val="-23"/>
        </w:rPr>
        <w:t xml:space="preserve"> </w:t>
      </w:r>
      <w:r w:rsidRPr="002F14F4">
        <w:rPr>
          <w:rFonts w:cstheme="minorHAnsi"/>
        </w:rPr>
        <w:t>to the project</w:t>
      </w:r>
      <w:r w:rsidRPr="002F14F4">
        <w:rPr>
          <w:rFonts w:cstheme="minorHAnsi"/>
          <w:spacing w:val="-2"/>
        </w:rPr>
        <w:t xml:space="preserve"> </w:t>
      </w:r>
      <w:r w:rsidRPr="002F14F4">
        <w:rPr>
          <w:rFonts w:cstheme="minorHAnsi"/>
        </w:rPr>
        <w:t>proposed</w:t>
      </w:r>
    </w:p>
    <w:p w14:paraId="4005DE51" w14:textId="77777777" w:rsidR="00F26EB1" w:rsidRPr="002F14F4" w:rsidRDefault="00F26EB1" w:rsidP="00F26EB1">
      <w:pPr>
        <w:pStyle w:val="BodyText"/>
        <w:spacing w:before="10" w:line="276" w:lineRule="auto"/>
        <w:rPr>
          <w:rFonts w:asciiTheme="minorHAnsi" w:hAnsiTheme="minorHAnsi" w:cstheme="minorHAnsi"/>
          <w:sz w:val="22"/>
          <w:szCs w:val="22"/>
        </w:rPr>
      </w:pPr>
    </w:p>
    <w:p w14:paraId="3C2E9A46" w14:textId="77777777" w:rsidR="00F26EB1" w:rsidRPr="002F14F4" w:rsidRDefault="00F26EB1" w:rsidP="00F26EB1">
      <w:pPr>
        <w:spacing w:after="0" w:line="276" w:lineRule="auto"/>
        <w:ind w:left="115"/>
        <w:rPr>
          <w:rFonts w:cstheme="minorHAnsi"/>
        </w:rPr>
      </w:pPr>
      <w:r w:rsidRPr="002F14F4">
        <w:rPr>
          <w:rFonts w:cstheme="minorHAnsi"/>
        </w:rPr>
        <w:t xml:space="preserve">NWH </w:t>
      </w:r>
      <w:r w:rsidRPr="002F14F4">
        <w:rPr>
          <w:rFonts w:cstheme="minorHAnsi"/>
          <w:b/>
          <w:u w:val="thick"/>
        </w:rPr>
        <w:t>will not</w:t>
      </w:r>
      <w:r w:rsidRPr="002F14F4">
        <w:rPr>
          <w:rFonts w:cstheme="minorHAnsi"/>
          <w:b/>
        </w:rPr>
        <w:t xml:space="preserve"> </w:t>
      </w:r>
      <w:r w:rsidRPr="002F14F4">
        <w:rPr>
          <w:rFonts w:cstheme="minorHAnsi"/>
        </w:rPr>
        <w:t>fund:</w:t>
      </w:r>
    </w:p>
    <w:p w14:paraId="62E148E4" w14:textId="55CA6D25" w:rsidR="00F26EB1" w:rsidRPr="002F14F4" w:rsidRDefault="00F26EB1" w:rsidP="002F14F4">
      <w:pPr>
        <w:pStyle w:val="BodyText"/>
        <w:numPr>
          <w:ilvl w:val="1"/>
          <w:numId w:val="13"/>
        </w:numPr>
        <w:spacing w:before="120" w:line="276" w:lineRule="auto"/>
        <w:ind w:left="835"/>
        <w:rPr>
          <w:rFonts w:asciiTheme="minorHAnsi" w:hAnsiTheme="minorHAnsi" w:cstheme="minorHAnsi"/>
          <w:sz w:val="22"/>
          <w:szCs w:val="22"/>
        </w:rPr>
      </w:pPr>
      <w:r w:rsidRPr="002F14F4">
        <w:rPr>
          <w:rFonts w:asciiTheme="minorHAnsi" w:hAnsiTheme="minorHAnsi" w:cstheme="minorHAnsi"/>
          <w:sz w:val="22"/>
          <w:szCs w:val="22"/>
        </w:rPr>
        <w:t xml:space="preserve">The costs of existing efforts </w:t>
      </w:r>
      <w:r w:rsidR="002F14F4">
        <w:rPr>
          <w:rFonts w:asciiTheme="minorHAnsi" w:hAnsiTheme="minorHAnsi" w:cstheme="minorHAnsi"/>
          <w:sz w:val="22"/>
          <w:szCs w:val="22"/>
        </w:rPr>
        <w:t xml:space="preserve">that </w:t>
      </w:r>
      <w:r w:rsidR="002F14F4" w:rsidRPr="002F14F4">
        <w:rPr>
          <w:rFonts w:asciiTheme="minorHAnsi" w:hAnsiTheme="minorHAnsi" w:cstheme="minorHAnsi"/>
          <w:sz w:val="22"/>
          <w:szCs w:val="22"/>
        </w:rPr>
        <w:t>are already</w:t>
      </w:r>
      <w:r w:rsidRPr="002F14F4">
        <w:rPr>
          <w:rFonts w:asciiTheme="minorHAnsi" w:hAnsiTheme="minorHAnsi" w:cstheme="minorHAnsi"/>
          <w:sz w:val="22"/>
          <w:szCs w:val="22"/>
        </w:rPr>
        <w:t xml:space="preserve"> fully financially supported by the organization or another funder</w:t>
      </w:r>
    </w:p>
    <w:p w14:paraId="77B64E62" w14:textId="77777777" w:rsidR="00F26EB1" w:rsidRPr="002F14F4" w:rsidRDefault="00F26EB1" w:rsidP="002F14F4">
      <w:pPr>
        <w:pStyle w:val="BodyText"/>
        <w:numPr>
          <w:ilvl w:val="1"/>
          <w:numId w:val="13"/>
        </w:numPr>
        <w:spacing w:before="120" w:line="276" w:lineRule="auto"/>
        <w:ind w:left="835"/>
        <w:rPr>
          <w:rFonts w:asciiTheme="minorHAnsi" w:hAnsiTheme="minorHAnsi" w:cstheme="minorHAnsi"/>
          <w:sz w:val="22"/>
          <w:szCs w:val="22"/>
        </w:rPr>
      </w:pPr>
      <w:r w:rsidRPr="002F14F4">
        <w:rPr>
          <w:rFonts w:asciiTheme="minorHAnsi" w:hAnsiTheme="minorHAnsi" w:cstheme="minorHAnsi"/>
          <w:sz w:val="22"/>
          <w:szCs w:val="22"/>
        </w:rPr>
        <w:t>Interstate or international travel</w:t>
      </w:r>
    </w:p>
    <w:p w14:paraId="27E9F399" w14:textId="77777777" w:rsidR="00F26EB1" w:rsidRPr="002F14F4" w:rsidRDefault="00F26EB1" w:rsidP="002F14F4">
      <w:pPr>
        <w:pStyle w:val="BodyText"/>
        <w:numPr>
          <w:ilvl w:val="1"/>
          <w:numId w:val="13"/>
        </w:numPr>
        <w:spacing w:before="120" w:line="276" w:lineRule="auto"/>
        <w:ind w:left="835"/>
        <w:rPr>
          <w:rFonts w:asciiTheme="minorHAnsi" w:hAnsiTheme="minorHAnsi" w:cstheme="minorHAnsi"/>
          <w:sz w:val="22"/>
          <w:szCs w:val="22"/>
        </w:rPr>
      </w:pPr>
      <w:r w:rsidRPr="002F14F4">
        <w:rPr>
          <w:rFonts w:asciiTheme="minorHAnsi" w:hAnsiTheme="minorHAnsi" w:cstheme="minorHAnsi"/>
          <w:sz w:val="22"/>
          <w:szCs w:val="22"/>
        </w:rPr>
        <w:t>Indirect costs that exceed 25%</w:t>
      </w:r>
    </w:p>
    <w:p w14:paraId="126E16BB" w14:textId="3FB6E28C" w:rsidR="00220EC5" w:rsidRPr="004175A5" w:rsidRDefault="00220EC5" w:rsidP="004175A5">
      <w:pPr>
        <w:pStyle w:val="BodyText"/>
        <w:spacing w:line="276" w:lineRule="auto"/>
        <w:ind w:right="162"/>
        <w:rPr>
          <w:rFonts w:asciiTheme="minorHAnsi" w:hAnsiTheme="minorHAnsi" w:cstheme="minorHAnsi"/>
          <w:sz w:val="22"/>
          <w:szCs w:val="22"/>
        </w:rPr>
      </w:pPr>
      <w:r w:rsidRPr="004175A5">
        <w:rPr>
          <w:rFonts w:asciiTheme="minorHAnsi" w:hAnsiTheme="minorHAnsi" w:cstheme="minorHAnsi"/>
          <w:sz w:val="22"/>
          <w:szCs w:val="22"/>
        </w:rPr>
        <w:br/>
      </w:r>
    </w:p>
    <w:p w14:paraId="246AB829" w14:textId="77777777" w:rsidR="00220EC5" w:rsidRDefault="00220EC5" w:rsidP="00220EC5">
      <w:pPr>
        <w:spacing w:after="0" w:line="240" w:lineRule="auto"/>
        <w:rPr>
          <w:rFonts w:eastAsia="Calibri" w:cs="Times New Roman"/>
          <w:sz w:val="24"/>
          <w:szCs w:val="24"/>
          <w:u w:val="single"/>
        </w:rPr>
      </w:pPr>
    </w:p>
    <w:p w14:paraId="4FA33149" w14:textId="77777777" w:rsidR="00E44C2C" w:rsidRDefault="00E44C2C">
      <w:pPr>
        <w:rPr>
          <w:rFonts w:asciiTheme="majorHAnsi" w:eastAsia="Calibri" w:hAnsiTheme="majorHAnsi" w:cstheme="majorBidi"/>
          <w:color w:val="0F4761" w:themeColor="accent1" w:themeShade="BF"/>
          <w:sz w:val="40"/>
          <w:szCs w:val="40"/>
        </w:rPr>
      </w:pPr>
      <w:r>
        <w:rPr>
          <w:rFonts w:eastAsia="Calibri"/>
        </w:rPr>
        <w:br w:type="page"/>
      </w:r>
    </w:p>
    <w:p w14:paraId="6257DA49" w14:textId="4C80277E" w:rsidR="00220EC5" w:rsidRDefault="007E0C9D" w:rsidP="00C27A56">
      <w:pPr>
        <w:pStyle w:val="Heading1"/>
        <w:rPr>
          <w:rFonts w:eastAsia="Calibri"/>
        </w:rPr>
      </w:pPr>
      <w:r>
        <w:rPr>
          <w:rFonts w:eastAsia="Calibri"/>
        </w:rPr>
        <w:lastRenderedPageBreak/>
        <w:t>F</w:t>
      </w:r>
      <w:r w:rsidR="00C53ED9">
        <w:rPr>
          <w:rFonts w:eastAsia="Calibri"/>
        </w:rPr>
        <w:t>UNDING REQUIREMENTS</w:t>
      </w:r>
    </w:p>
    <w:p w14:paraId="65444298" w14:textId="5637A065" w:rsidR="007E0C9D" w:rsidRDefault="00556821" w:rsidP="007E0C9D">
      <w:pPr>
        <w:pStyle w:val="Heading2"/>
      </w:pPr>
      <w:r>
        <w:t>Upstream Approaches: Policy, Systems, and/or Environmental Change</w:t>
      </w:r>
    </w:p>
    <w:p w14:paraId="0E9361F6" w14:textId="0D319B44" w:rsidR="00556821" w:rsidRPr="00556821" w:rsidRDefault="00556821" w:rsidP="00556821">
      <w:pPr>
        <w:pStyle w:val="BodyText"/>
        <w:spacing w:line="276" w:lineRule="auto"/>
        <w:ind w:right="169"/>
        <w:rPr>
          <w:rFonts w:asciiTheme="minorHAnsi" w:hAnsiTheme="minorHAnsi" w:cstheme="minorHAnsi"/>
          <w:sz w:val="22"/>
          <w:szCs w:val="22"/>
        </w:rPr>
      </w:pPr>
      <w:r w:rsidRPr="00556821">
        <w:rPr>
          <w:rFonts w:asciiTheme="minorHAnsi" w:hAnsiTheme="minorHAnsi" w:cstheme="minorHAnsi"/>
          <w:sz w:val="22"/>
          <w:szCs w:val="22"/>
        </w:rPr>
        <w:t xml:space="preserve">The Massachusetts Department of Public Health (DPH) guidelines for CHIs require a </w:t>
      </w:r>
      <w:r w:rsidRPr="00556821">
        <w:rPr>
          <w:rFonts w:asciiTheme="minorHAnsi" w:hAnsiTheme="minorHAnsi" w:cstheme="minorHAnsi"/>
          <w:b/>
          <w:sz w:val="22"/>
          <w:szCs w:val="22"/>
        </w:rPr>
        <w:t>f</w:t>
      </w:r>
      <w:r w:rsidRPr="00556821">
        <w:rPr>
          <w:rFonts w:asciiTheme="minorHAnsi" w:hAnsiTheme="minorHAnsi" w:cstheme="minorHAnsi"/>
          <w:b/>
          <w:bCs/>
          <w:sz w:val="22"/>
          <w:szCs w:val="22"/>
        </w:rPr>
        <w:t>ocus on health inequities and addressing “root causes” of inequity by</w:t>
      </w:r>
      <w:r w:rsidRPr="00556821">
        <w:rPr>
          <w:rFonts w:asciiTheme="minorHAnsi" w:hAnsiTheme="minorHAnsi" w:cstheme="minorHAnsi"/>
          <w:sz w:val="22"/>
          <w:szCs w:val="22"/>
        </w:rPr>
        <w:t>:</w:t>
      </w:r>
    </w:p>
    <w:p w14:paraId="4721CF7E" w14:textId="011E2A9D" w:rsidR="00556821" w:rsidRPr="00556821" w:rsidRDefault="00B87AC0" w:rsidP="00556821">
      <w:pPr>
        <w:pStyle w:val="BodyText"/>
        <w:numPr>
          <w:ilvl w:val="0"/>
          <w:numId w:val="7"/>
        </w:numPr>
        <w:tabs>
          <w:tab w:val="num" w:pos="360"/>
        </w:tabs>
        <w:spacing w:line="276" w:lineRule="auto"/>
        <w:ind w:left="0" w:right="169" w:firstLine="0"/>
        <w:rPr>
          <w:rFonts w:asciiTheme="minorHAnsi" w:hAnsiTheme="minorHAnsi" w:cstheme="minorHAnsi"/>
          <w:sz w:val="22"/>
          <w:szCs w:val="22"/>
        </w:rPr>
      </w:pPr>
      <w:r>
        <w:rPr>
          <w:rFonts w:asciiTheme="minorHAnsi" w:hAnsiTheme="minorHAnsi" w:cstheme="minorHAnsi"/>
          <w:i/>
          <w:iCs/>
          <w:sz w:val="22"/>
          <w:szCs w:val="22"/>
        </w:rPr>
        <w:t>E</w:t>
      </w:r>
      <w:r w:rsidR="00556821" w:rsidRPr="00556821">
        <w:rPr>
          <w:rFonts w:asciiTheme="minorHAnsi" w:hAnsiTheme="minorHAnsi" w:cstheme="minorHAnsi"/>
          <w:i/>
          <w:iCs/>
          <w:sz w:val="22"/>
          <w:szCs w:val="22"/>
        </w:rPr>
        <w:t>liminating the racial and health inequities that threaten the lives of communities of color</w:t>
      </w:r>
    </w:p>
    <w:p w14:paraId="0BF4518F" w14:textId="50C7DF98" w:rsidR="00556821" w:rsidRPr="00C77B4C" w:rsidRDefault="00B87AC0" w:rsidP="00C77B4C">
      <w:pPr>
        <w:pStyle w:val="BodyText"/>
        <w:numPr>
          <w:ilvl w:val="0"/>
          <w:numId w:val="7"/>
        </w:numPr>
        <w:tabs>
          <w:tab w:val="num" w:pos="360"/>
        </w:tabs>
        <w:spacing w:after="120" w:line="276" w:lineRule="auto"/>
        <w:ind w:left="360" w:right="173"/>
        <w:rPr>
          <w:rFonts w:asciiTheme="minorHAnsi" w:hAnsiTheme="minorHAnsi" w:cstheme="minorHAnsi"/>
          <w:sz w:val="22"/>
          <w:szCs w:val="22"/>
        </w:rPr>
      </w:pPr>
      <w:r>
        <w:rPr>
          <w:rFonts w:asciiTheme="minorHAnsi" w:hAnsiTheme="minorHAnsi" w:cstheme="minorHAnsi"/>
          <w:i/>
          <w:iCs/>
          <w:sz w:val="22"/>
          <w:szCs w:val="22"/>
        </w:rPr>
        <w:t>I</w:t>
      </w:r>
      <w:r w:rsidR="00556821" w:rsidRPr="00C77B4C">
        <w:rPr>
          <w:rFonts w:asciiTheme="minorHAnsi" w:hAnsiTheme="minorHAnsi" w:cstheme="minorHAnsi"/>
          <w:i/>
          <w:iCs/>
          <w:sz w:val="22"/>
          <w:szCs w:val="22"/>
        </w:rPr>
        <w:t xml:space="preserve">mplementing “downstream” strategies guided by a thorough understanding of the “upstream” issues that create barriers and lack of opportunity for healthy living </w:t>
      </w:r>
    </w:p>
    <w:p w14:paraId="0CFEA279" w14:textId="44300AFA" w:rsidR="00C77B4C" w:rsidRDefault="00556821" w:rsidP="00C77B4C">
      <w:pPr>
        <w:spacing w:before="240" w:after="0"/>
        <w:rPr>
          <w:rStyle w:val="normaltextrun"/>
          <w:rFonts w:cstheme="minorHAnsi"/>
          <w:lang w:val="en-CA"/>
        </w:rPr>
      </w:pPr>
      <w:r w:rsidRPr="000E2029">
        <w:rPr>
          <w:rFonts w:cstheme="minorHAnsi"/>
          <w:b/>
          <w:bCs/>
        </w:rPr>
        <w:t>Upstream</w:t>
      </w:r>
      <w:r w:rsidRPr="000E2029">
        <w:rPr>
          <w:rFonts w:cstheme="minorHAnsi"/>
        </w:rPr>
        <w:t xml:space="preserve"> approaches address the root causes of health inequities, seeking to reform the fundamental social and economic structures affecting power, opportunity, and inclusivity. Upstream approaches utilize policy, systems, or environmental change strategies to improve community conditions that affect </w:t>
      </w:r>
      <w:r w:rsidR="00734EA2" w:rsidRPr="000E2029">
        <w:rPr>
          <w:rFonts w:cstheme="minorHAnsi"/>
        </w:rPr>
        <w:t>health.</w:t>
      </w:r>
      <w:r w:rsidRPr="000E2029">
        <w:rPr>
          <w:rFonts w:cstheme="minorHAnsi"/>
        </w:rPr>
        <w:t xml:space="preserve"> By contrast, </w:t>
      </w:r>
      <w:r w:rsidRPr="000E2029">
        <w:rPr>
          <w:rFonts w:cstheme="minorHAnsi"/>
          <w:b/>
          <w:bCs/>
        </w:rPr>
        <w:t>downstream</w:t>
      </w:r>
      <w:r w:rsidRPr="000E2029">
        <w:rPr>
          <w:rFonts w:cstheme="minorHAnsi"/>
        </w:rPr>
        <w:t xml:space="preserve"> approaches address individual-level service needs. Downstream interventions focus on </w:t>
      </w:r>
      <w:r w:rsidRPr="000E2029">
        <w:rPr>
          <w:rStyle w:val="normaltextrun"/>
          <w:rFonts w:cstheme="minorHAnsi"/>
          <w:lang w:val="en-CA"/>
        </w:rPr>
        <w:t>providing essential services designed to improve an individual’s health and well-being.</w:t>
      </w:r>
    </w:p>
    <w:p w14:paraId="1B5BA5A2" w14:textId="77777777" w:rsidR="00C77B4C" w:rsidRDefault="00C77B4C" w:rsidP="00C77B4C">
      <w:pPr>
        <w:pStyle w:val="BodyText"/>
        <w:spacing w:line="276" w:lineRule="auto"/>
        <w:ind w:right="169"/>
        <w:rPr>
          <w:rStyle w:val="normaltextrun"/>
          <w:rFonts w:asciiTheme="minorHAnsi" w:hAnsiTheme="minorHAnsi" w:cstheme="minorHAnsi"/>
          <w:sz w:val="22"/>
          <w:szCs w:val="22"/>
          <w:lang w:val="en-CA"/>
        </w:rPr>
      </w:pPr>
    </w:p>
    <w:p w14:paraId="2C852353" w14:textId="682060F5" w:rsidR="00C77B4C" w:rsidRPr="00556821" w:rsidRDefault="00F26EB1" w:rsidP="00C77B4C">
      <w:pPr>
        <w:pStyle w:val="BodyText"/>
        <w:spacing w:line="276" w:lineRule="auto"/>
        <w:ind w:right="169"/>
        <w:rPr>
          <w:sz w:val="22"/>
          <w:szCs w:val="22"/>
        </w:rPr>
      </w:pPr>
      <w:r>
        <w:rPr>
          <w:rFonts w:asciiTheme="minorHAnsi" w:hAnsiTheme="minorHAnsi" w:cstheme="minorHAnsi"/>
          <w:sz w:val="22"/>
          <w:szCs w:val="22"/>
        </w:rPr>
        <w:t xml:space="preserve">To </w:t>
      </w:r>
      <w:r w:rsidR="00556821" w:rsidRPr="00556821">
        <w:rPr>
          <w:rFonts w:asciiTheme="minorHAnsi" w:hAnsiTheme="minorHAnsi" w:cstheme="minorHAnsi"/>
          <w:sz w:val="22"/>
          <w:szCs w:val="22"/>
        </w:rPr>
        <w:t xml:space="preserve">comply with DPH guidelines, </w:t>
      </w:r>
      <w:r w:rsidR="00556821" w:rsidRPr="00734EA2">
        <w:rPr>
          <w:rFonts w:asciiTheme="minorHAnsi" w:hAnsiTheme="minorHAnsi" w:cstheme="minorHAnsi"/>
          <w:b/>
          <w:bCs/>
          <w:sz w:val="22"/>
          <w:szCs w:val="22"/>
        </w:rPr>
        <w:t>this CHI must focus on identifying the policy, systems, or environmental factors that contribute to the identified barriers and develop strategies to address them</w:t>
      </w:r>
      <w:r w:rsidR="00556821" w:rsidRPr="00C77B4C">
        <w:rPr>
          <w:rFonts w:asciiTheme="minorHAnsi" w:hAnsiTheme="minorHAnsi" w:cstheme="minorHAnsi"/>
          <w:sz w:val="22"/>
          <w:szCs w:val="22"/>
        </w:rPr>
        <w:t xml:space="preserve">. </w:t>
      </w:r>
      <w:r w:rsidR="00556821" w:rsidRPr="00C77B4C">
        <w:rPr>
          <w:rFonts w:asciiTheme="minorHAnsi" w:hAnsiTheme="minorHAnsi" w:cstheme="minorHAnsi"/>
          <w:b/>
          <w:bCs/>
          <w:sz w:val="22"/>
          <w:szCs w:val="22"/>
        </w:rPr>
        <w:t>This CHI is not intended to provide direct services</w:t>
      </w:r>
      <w:r w:rsidR="00556821" w:rsidRPr="00C77B4C">
        <w:rPr>
          <w:rFonts w:asciiTheme="minorHAnsi" w:hAnsiTheme="minorHAnsi" w:cstheme="minorHAnsi"/>
          <w:sz w:val="22"/>
          <w:szCs w:val="22"/>
        </w:rPr>
        <w:t xml:space="preserve">. </w:t>
      </w:r>
      <w:r w:rsidR="00C77B4C" w:rsidRPr="00C77B4C">
        <w:rPr>
          <w:rFonts w:asciiTheme="minorHAnsi" w:hAnsiTheme="minorHAnsi" w:cstheme="minorHAnsi"/>
          <w:sz w:val="22"/>
          <w:szCs w:val="22"/>
        </w:rPr>
        <w:t xml:space="preserve">For more information about PSE change, please visit: </w:t>
      </w:r>
      <w:hyperlink r:id="rId8" w:history="1">
        <w:r w:rsidR="00C77B4C" w:rsidRPr="00C77B4C">
          <w:rPr>
            <w:rStyle w:val="Hyperlink"/>
            <w:rFonts w:asciiTheme="minorHAnsi" w:hAnsiTheme="minorHAnsi" w:cstheme="minorHAnsi"/>
            <w:sz w:val="22"/>
            <w:szCs w:val="22"/>
          </w:rPr>
          <w:t>https://www.communitycommons.org/collections/An-Introduction-to-Policy-Systems-and-Environmental-PSE-Change</w:t>
        </w:r>
      </w:hyperlink>
      <w:r w:rsidR="00C77B4C">
        <w:rPr>
          <w:rFonts w:cstheme="minorHAnsi"/>
        </w:rPr>
        <w:t>.</w:t>
      </w:r>
    </w:p>
    <w:p w14:paraId="118B4A51" w14:textId="001A0EBB" w:rsidR="00556821" w:rsidRDefault="00667B01" w:rsidP="00556821">
      <w:pPr>
        <w:pStyle w:val="Heading2"/>
      </w:pPr>
      <w:r>
        <w:t>Geographic Focus and Priority Population</w:t>
      </w:r>
    </w:p>
    <w:p w14:paraId="016308DD" w14:textId="77777777" w:rsidR="00667B01" w:rsidRDefault="00556821" w:rsidP="00556821">
      <w:pPr>
        <w:rPr>
          <w:rFonts w:eastAsia="Calibri" w:cstheme="minorHAnsi"/>
        </w:rPr>
      </w:pPr>
      <w:r w:rsidRPr="00556821">
        <w:rPr>
          <w:rFonts w:cstheme="minorHAnsi"/>
        </w:rPr>
        <w:t xml:space="preserve">Funds may only be used to support residents of the </w:t>
      </w:r>
      <w:r>
        <w:rPr>
          <w:rFonts w:cstheme="minorHAnsi"/>
        </w:rPr>
        <w:t>City of Waltham.</w:t>
      </w:r>
      <w:r w:rsidRPr="00556821">
        <w:rPr>
          <w:rFonts w:cstheme="minorHAnsi"/>
        </w:rPr>
        <w:t xml:space="preserve"> Organizations eligible to apply for funding do not need to be </w:t>
      </w:r>
      <w:r>
        <w:rPr>
          <w:rFonts w:cstheme="minorHAnsi"/>
        </w:rPr>
        <w:t xml:space="preserve">headquartered in Waltham. </w:t>
      </w:r>
      <w:r>
        <w:rPr>
          <w:rFonts w:eastAsia="Calibri" w:cstheme="minorHAnsi"/>
        </w:rPr>
        <w:t xml:space="preserve">However, applicants </w:t>
      </w:r>
      <w:r w:rsidRPr="00C27A56">
        <w:rPr>
          <w:rFonts w:eastAsia="Calibri" w:cstheme="minorHAnsi"/>
        </w:rPr>
        <w:t>must demonstrate a strong connection to and presence in the city.</w:t>
      </w:r>
    </w:p>
    <w:p w14:paraId="489E1BD3" w14:textId="4A3674AA" w:rsidR="00556821" w:rsidRDefault="00667B01" w:rsidP="00667B01">
      <w:pPr>
        <w:spacing w:line="276" w:lineRule="auto"/>
        <w:rPr>
          <w:rFonts w:cstheme="minorHAnsi"/>
        </w:rPr>
      </w:pPr>
      <w:r w:rsidRPr="00667B01">
        <w:rPr>
          <w:rFonts w:eastAsia="Calibri" w:cstheme="minorHAnsi"/>
        </w:rPr>
        <w:t xml:space="preserve">While the initiative aims to focus on communities of color and immigrant populations, applicants must identify and justify their specific priority population. Given the priority population, applicants must demonstrate their ability to engage with a culturally and linguistically diverse community. </w:t>
      </w:r>
    </w:p>
    <w:p w14:paraId="397235DC" w14:textId="7F4FF7E3" w:rsidR="00667B01" w:rsidRPr="004C2B9A" w:rsidRDefault="00667B01" w:rsidP="00667B01">
      <w:pPr>
        <w:pStyle w:val="Heading2"/>
      </w:pPr>
      <w:r w:rsidRPr="004C2B9A">
        <w:t>Eligible Organizations</w:t>
      </w:r>
    </w:p>
    <w:p w14:paraId="6D89051F" w14:textId="431B78AB" w:rsidR="00667B01" w:rsidRPr="00667B01" w:rsidRDefault="00667B01" w:rsidP="00667B01">
      <w:pPr>
        <w:spacing w:line="276" w:lineRule="auto"/>
        <w:contextualSpacing/>
        <w:rPr>
          <w:rFonts w:cstheme="minorHAnsi"/>
        </w:rPr>
      </w:pPr>
      <w:r w:rsidRPr="00667B01">
        <w:rPr>
          <w:rFonts w:cstheme="minorHAnsi"/>
        </w:rPr>
        <w:t>Organizations that have a 501(c)(3) designation or those with a 501(c)(3) fiscal</w:t>
      </w:r>
      <w:r w:rsidRPr="00667B01">
        <w:rPr>
          <w:rFonts w:cstheme="minorHAnsi"/>
          <w:spacing w:val="-8"/>
        </w:rPr>
        <w:t xml:space="preserve"> </w:t>
      </w:r>
      <w:r w:rsidRPr="00667B01">
        <w:rPr>
          <w:rFonts w:cstheme="minorHAnsi"/>
        </w:rPr>
        <w:t xml:space="preserve">sponsor. </w:t>
      </w:r>
    </w:p>
    <w:p w14:paraId="3C966C0D" w14:textId="77777777" w:rsidR="00667B01" w:rsidRPr="004C2B9A" w:rsidRDefault="00667B01" w:rsidP="00667B01">
      <w:pPr>
        <w:pStyle w:val="Heading2"/>
      </w:pPr>
      <w:r w:rsidRPr="004C2B9A">
        <w:t>Single Organization or Collaborative Approach</w:t>
      </w:r>
    </w:p>
    <w:p w14:paraId="71BBF6E0" w14:textId="02BAB4F5" w:rsidR="00667B01" w:rsidRPr="00667B01" w:rsidRDefault="00667B01" w:rsidP="00667B01">
      <w:pPr>
        <w:spacing w:line="276" w:lineRule="auto"/>
        <w:contextualSpacing/>
        <w:rPr>
          <w:rFonts w:cstheme="minorHAnsi"/>
        </w:rPr>
      </w:pPr>
      <w:r w:rsidRPr="00667B01">
        <w:rPr>
          <w:rFonts w:eastAsia="Calibri" w:cstheme="minorHAnsi"/>
        </w:rPr>
        <w:t xml:space="preserve">Applicants may be a single organization or a lead applicant representing a collaborative of organizations.  </w:t>
      </w:r>
      <w:r w:rsidRPr="00667B01">
        <w:rPr>
          <w:rFonts w:cstheme="minorHAnsi"/>
        </w:rPr>
        <w:t xml:space="preserve">If applying as a collaborative, the proposal must identify all organizations in the collaborative, the specific roles of each organization, and the amount of grant funds allocated to each organization. MOUs between the lead agency and each organization in the collaborative must be submitted with the proposal and should include a summary of roles and responsibilities and the amount of grant funds allocated to support the work. </w:t>
      </w:r>
    </w:p>
    <w:p w14:paraId="64C23BC3" w14:textId="77777777" w:rsidR="00E44C2C" w:rsidRPr="004C2B9A" w:rsidRDefault="00E44C2C" w:rsidP="00C53ED9">
      <w:pPr>
        <w:pStyle w:val="Heading1"/>
      </w:pPr>
      <w:r w:rsidRPr="00C53ED9">
        <w:lastRenderedPageBreak/>
        <w:t>PROPOSAL</w:t>
      </w:r>
      <w:r w:rsidRPr="004C2B9A">
        <w:t xml:space="preserve"> GUIDELINES </w:t>
      </w:r>
    </w:p>
    <w:p w14:paraId="43EAAB2E" w14:textId="77777777" w:rsidR="00E44C2C" w:rsidRPr="00016CAC" w:rsidRDefault="00E44C2C" w:rsidP="00E44C2C">
      <w:pPr>
        <w:spacing w:line="276" w:lineRule="auto"/>
        <w:ind w:left="90"/>
        <w:rPr>
          <w:rFonts w:cstheme="minorHAnsi"/>
        </w:rPr>
      </w:pPr>
      <w:r w:rsidRPr="00016CAC">
        <w:rPr>
          <w:rFonts w:cstheme="minorHAnsi"/>
        </w:rPr>
        <w:t>All applicants must submit the following:</w:t>
      </w:r>
    </w:p>
    <w:p w14:paraId="1CB5CC3E" w14:textId="77777777" w:rsidR="00E44C2C" w:rsidRPr="00016CAC" w:rsidRDefault="00E44C2C" w:rsidP="00E44C2C">
      <w:pPr>
        <w:pStyle w:val="ListParagraph"/>
        <w:widowControl w:val="0"/>
        <w:numPr>
          <w:ilvl w:val="0"/>
          <w:numId w:val="10"/>
        </w:numPr>
        <w:autoSpaceDE w:val="0"/>
        <w:autoSpaceDN w:val="0"/>
        <w:spacing w:after="0" w:line="276" w:lineRule="auto"/>
        <w:contextualSpacing w:val="0"/>
        <w:rPr>
          <w:rFonts w:cstheme="minorHAnsi"/>
        </w:rPr>
      </w:pPr>
      <w:r w:rsidRPr="00016CAC">
        <w:rPr>
          <w:rFonts w:cstheme="minorHAnsi"/>
        </w:rPr>
        <w:t>Cover Page</w:t>
      </w:r>
    </w:p>
    <w:p w14:paraId="056939C6" w14:textId="2F74DE53" w:rsidR="00E44C2C" w:rsidRPr="00016CAC" w:rsidRDefault="00E44C2C" w:rsidP="00E44C2C">
      <w:pPr>
        <w:pStyle w:val="ListParagraph"/>
        <w:widowControl w:val="0"/>
        <w:numPr>
          <w:ilvl w:val="0"/>
          <w:numId w:val="10"/>
        </w:numPr>
        <w:autoSpaceDE w:val="0"/>
        <w:autoSpaceDN w:val="0"/>
        <w:spacing w:after="0" w:line="276" w:lineRule="auto"/>
        <w:contextualSpacing w:val="0"/>
        <w:rPr>
          <w:rFonts w:cstheme="minorHAnsi"/>
        </w:rPr>
      </w:pPr>
      <w:r w:rsidRPr="00016CAC">
        <w:rPr>
          <w:rFonts w:cstheme="minorHAnsi"/>
        </w:rPr>
        <w:t>Proposal Narrative</w:t>
      </w:r>
      <w:r w:rsidR="006D2C49" w:rsidRPr="00016CAC">
        <w:rPr>
          <w:rFonts w:cstheme="minorHAnsi"/>
        </w:rPr>
        <w:t xml:space="preserve"> (</w:t>
      </w:r>
      <w:r w:rsidR="00B6515F">
        <w:rPr>
          <w:rFonts w:cstheme="minorHAnsi"/>
        </w:rPr>
        <w:t>1</w:t>
      </w:r>
      <w:r w:rsidR="006D2C49" w:rsidRPr="00016CAC">
        <w:rPr>
          <w:rFonts w:cstheme="minorHAnsi"/>
        </w:rPr>
        <w:t>0-page limit)</w:t>
      </w:r>
    </w:p>
    <w:p w14:paraId="30DA0CD7" w14:textId="54C16414" w:rsidR="00E44C2C" w:rsidRPr="00016CAC" w:rsidRDefault="00E44C2C" w:rsidP="00E44C2C">
      <w:pPr>
        <w:pStyle w:val="ListParagraph"/>
        <w:widowControl w:val="0"/>
        <w:numPr>
          <w:ilvl w:val="0"/>
          <w:numId w:val="10"/>
        </w:numPr>
        <w:autoSpaceDE w:val="0"/>
        <w:autoSpaceDN w:val="0"/>
        <w:spacing w:after="0" w:line="276" w:lineRule="auto"/>
        <w:contextualSpacing w:val="0"/>
        <w:rPr>
          <w:rFonts w:cstheme="minorHAnsi"/>
        </w:rPr>
      </w:pPr>
      <w:r w:rsidRPr="00016CAC">
        <w:rPr>
          <w:rFonts w:cstheme="minorHAnsi"/>
        </w:rPr>
        <w:t>Attachment A: Budget Template</w:t>
      </w:r>
      <w:r w:rsidR="00992939">
        <w:rPr>
          <w:rFonts w:cstheme="minorHAnsi"/>
        </w:rPr>
        <w:t xml:space="preserve"> </w:t>
      </w:r>
      <w:r w:rsidRPr="00016CAC">
        <w:rPr>
          <w:rFonts w:cstheme="minorHAnsi"/>
        </w:rPr>
        <w:t xml:space="preserve">and Budget Narrative </w:t>
      </w:r>
    </w:p>
    <w:p w14:paraId="382B5884" w14:textId="77777777" w:rsidR="00E44C2C" w:rsidRPr="00016CAC" w:rsidRDefault="00E44C2C" w:rsidP="00E44C2C">
      <w:pPr>
        <w:pStyle w:val="ListParagraph"/>
        <w:widowControl w:val="0"/>
        <w:numPr>
          <w:ilvl w:val="0"/>
          <w:numId w:val="10"/>
        </w:numPr>
        <w:autoSpaceDE w:val="0"/>
        <w:autoSpaceDN w:val="0"/>
        <w:spacing w:after="0" w:line="276" w:lineRule="auto"/>
        <w:contextualSpacing w:val="0"/>
        <w:rPr>
          <w:rFonts w:cstheme="minorHAnsi"/>
        </w:rPr>
      </w:pPr>
      <w:r w:rsidRPr="00016CAC">
        <w:rPr>
          <w:rFonts w:cstheme="minorHAnsi"/>
        </w:rPr>
        <w:t>Attachment B: Resumes of key staff</w:t>
      </w:r>
    </w:p>
    <w:p w14:paraId="71EF9392" w14:textId="1ED9A99B" w:rsidR="00E44C2C" w:rsidRPr="00016CAC" w:rsidRDefault="00E44C2C" w:rsidP="00E44C2C">
      <w:pPr>
        <w:pStyle w:val="ListParagraph"/>
        <w:widowControl w:val="0"/>
        <w:numPr>
          <w:ilvl w:val="0"/>
          <w:numId w:val="10"/>
        </w:numPr>
        <w:autoSpaceDE w:val="0"/>
        <w:autoSpaceDN w:val="0"/>
        <w:spacing w:after="0" w:line="276" w:lineRule="auto"/>
        <w:contextualSpacing w:val="0"/>
        <w:rPr>
          <w:rFonts w:cstheme="minorHAnsi"/>
        </w:rPr>
      </w:pPr>
      <w:r w:rsidRPr="00016CAC">
        <w:rPr>
          <w:rFonts w:cstheme="minorHAnsi"/>
        </w:rPr>
        <w:t xml:space="preserve">Attachment C: Most recent financial statement </w:t>
      </w:r>
    </w:p>
    <w:p w14:paraId="241FD76A" w14:textId="1F4C5B8E" w:rsidR="00E44C2C" w:rsidRPr="002F14F4" w:rsidRDefault="00E44C2C" w:rsidP="002F14F4">
      <w:pPr>
        <w:pStyle w:val="ListParagraph"/>
        <w:widowControl w:val="0"/>
        <w:numPr>
          <w:ilvl w:val="0"/>
          <w:numId w:val="10"/>
        </w:numPr>
        <w:autoSpaceDE w:val="0"/>
        <w:autoSpaceDN w:val="0"/>
        <w:spacing w:after="0" w:line="276" w:lineRule="auto"/>
        <w:contextualSpacing w:val="0"/>
        <w:rPr>
          <w:rFonts w:cstheme="minorHAnsi"/>
          <w:sz w:val="24"/>
          <w:szCs w:val="24"/>
        </w:rPr>
      </w:pPr>
      <w:r w:rsidRPr="002F14F4">
        <w:rPr>
          <w:rFonts w:cstheme="minorHAnsi"/>
        </w:rPr>
        <w:t xml:space="preserve">Attachment D: </w:t>
      </w:r>
      <w:r w:rsidRPr="002F14F4">
        <w:rPr>
          <w:rFonts w:cstheme="minorHAnsi"/>
          <w:u w:val="single"/>
        </w:rPr>
        <w:t>If applying as a collaborative</w:t>
      </w:r>
      <w:r w:rsidRPr="002F14F4">
        <w:rPr>
          <w:rFonts w:cstheme="minorHAnsi"/>
        </w:rPr>
        <w:t xml:space="preserve">, MOUs between the lead agency and each organization involved. Single-organization applicants </w:t>
      </w:r>
      <w:r w:rsidRPr="002F14F4">
        <w:rPr>
          <w:rFonts w:cstheme="minorHAnsi"/>
          <w:b/>
        </w:rPr>
        <w:t>do not</w:t>
      </w:r>
      <w:r w:rsidRPr="002F14F4">
        <w:rPr>
          <w:rFonts w:cstheme="minorHAnsi"/>
        </w:rPr>
        <w:t xml:space="preserve"> submit an Attachment D</w:t>
      </w:r>
    </w:p>
    <w:p w14:paraId="68948EBC" w14:textId="3EF573E7" w:rsidR="00E44C2C" w:rsidRDefault="00E44C2C" w:rsidP="00E44C2C">
      <w:pPr>
        <w:pStyle w:val="Heading2"/>
        <w:rPr>
          <w:rFonts w:cstheme="minorHAnsi"/>
          <w:b/>
          <w:sz w:val="24"/>
          <w:szCs w:val="24"/>
        </w:rPr>
      </w:pPr>
      <w:r>
        <w:t>Cover Page</w:t>
      </w:r>
    </w:p>
    <w:p w14:paraId="6A3D08FB" w14:textId="6D066A1A" w:rsidR="00E44C2C" w:rsidRPr="00016CAC" w:rsidRDefault="00E44C2C" w:rsidP="00992939">
      <w:pPr>
        <w:spacing w:after="120" w:line="276" w:lineRule="auto"/>
        <w:rPr>
          <w:rFonts w:cstheme="minorHAnsi"/>
        </w:rPr>
      </w:pPr>
      <w:r w:rsidRPr="00016CAC">
        <w:rPr>
          <w:rFonts w:cstheme="minorHAnsi"/>
          <w:b/>
        </w:rPr>
        <w:t xml:space="preserve">The Cover Page is not included in </w:t>
      </w:r>
      <w:r w:rsidR="006D2C49" w:rsidRPr="00016CAC">
        <w:rPr>
          <w:rFonts w:cstheme="minorHAnsi"/>
          <w:b/>
        </w:rPr>
        <w:t xml:space="preserve">the </w:t>
      </w:r>
      <w:r w:rsidR="00B6515F">
        <w:rPr>
          <w:rFonts w:cstheme="minorHAnsi"/>
          <w:b/>
        </w:rPr>
        <w:t>10</w:t>
      </w:r>
      <w:r w:rsidRPr="00016CAC">
        <w:rPr>
          <w:rFonts w:cstheme="minorHAnsi"/>
          <w:b/>
        </w:rPr>
        <w:t>-page limit.</w:t>
      </w:r>
      <w:r w:rsidR="00016CAC">
        <w:rPr>
          <w:rFonts w:cstheme="minorHAnsi"/>
          <w:b/>
        </w:rPr>
        <w:t xml:space="preserve"> </w:t>
      </w:r>
      <w:r w:rsidRPr="00016CAC">
        <w:rPr>
          <w:rFonts w:cstheme="minorHAnsi"/>
        </w:rPr>
        <w:t>The Cover Page must include:</w:t>
      </w:r>
    </w:p>
    <w:p w14:paraId="428E6791" w14:textId="77777777" w:rsidR="00E44C2C" w:rsidRPr="00016CAC" w:rsidRDefault="00E44C2C" w:rsidP="00E44C2C">
      <w:pPr>
        <w:pStyle w:val="ListParagraph"/>
        <w:widowControl w:val="0"/>
        <w:numPr>
          <w:ilvl w:val="0"/>
          <w:numId w:val="11"/>
        </w:numPr>
        <w:autoSpaceDE w:val="0"/>
        <w:autoSpaceDN w:val="0"/>
        <w:spacing w:after="0" w:line="276" w:lineRule="auto"/>
        <w:contextualSpacing w:val="0"/>
        <w:rPr>
          <w:rFonts w:cstheme="minorHAnsi"/>
        </w:rPr>
      </w:pPr>
      <w:r w:rsidRPr="00016CAC">
        <w:rPr>
          <w:rFonts w:cstheme="minorHAnsi"/>
        </w:rPr>
        <w:t xml:space="preserve">Contact information for the Single Applicant or Lead Agency for a collaborative application, including: </w:t>
      </w:r>
    </w:p>
    <w:p w14:paraId="6C27EC1B" w14:textId="77777777" w:rsidR="00E44C2C" w:rsidRPr="00016CAC" w:rsidRDefault="00E44C2C" w:rsidP="00E44C2C">
      <w:pPr>
        <w:pStyle w:val="ListParagraph"/>
        <w:widowControl w:val="0"/>
        <w:numPr>
          <w:ilvl w:val="1"/>
          <w:numId w:val="11"/>
        </w:numPr>
        <w:autoSpaceDE w:val="0"/>
        <w:autoSpaceDN w:val="0"/>
        <w:spacing w:after="0" w:line="276" w:lineRule="auto"/>
        <w:contextualSpacing w:val="0"/>
        <w:rPr>
          <w:rFonts w:cstheme="minorHAnsi"/>
        </w:rPr>
      </w:pPr>
      <w:r w:rsidRPr="00016CAC">
        <w:rPr>
          <w:rFonts w:cstheme="minorHAnsi"/>
        </w:rPr>
        <w:t>Agency Name</w:t>
      </w:r>
    </w:p>
    <w:p w14:paraId="5299BE1F" w14:textId="77777777" w:rsidR="00E44C2C" w:rsidRPr="00016CAC" w:rsidRDefault="00E44C2C" w:rsidP="00E44C2C">
      <w:pPr>
        <w:pStyle w:val="ListParagraph"/>
        <w:widowControl w:val="0"/>
        <w:numPr>
          <w:ilvl w:val="1"/>
          <w:numId w:val="11"/>
        </w:numPr>
        <w:autoSpaceDE w:val="0"/>
        <w:autoSpaceDN w:val="0"/>
        <w:spacing w:after="0" w:line="276" w:lineRule="auto"/>
        <w:contextualSpacing w:val="0"/>
        <w:rPr>
          <w:rFonts w:cstheme="minorHAnsi"/>
        </w:rPr>
      </w:pPr>
      <w:r w:rsidRPr="00016CAC">
        <w:rPr>
          <w:rFonts w:cstheme="minorHAnsi"/>
        </w:rPr>
        <w:t>Address</w:t>
      </w:r>
    </w:p>
    <w:p w14:paraId="6F1F7DE8" w14:textId="77777777" w:rsidR="00E44C2C" w:rsidRPr="00016CAC" w:rsidRDefault="00E44C2C" w:rsidP="00E44C2C">
      <w:pPr>
        <w:pStyle w:val="ListParagraph"/>
        <w:widowControl w:val="0"/>
        <w:numPr>
          <w:ilvl w:val="1"/>
          <w:numId w:val="11"/>
        </w:numPr>
        <w:autoSpaceDE w:val="0"/>
        <w:autoSpaceDN w:val="0"/>
        <w:spacing w:after="0" w:line="276" w:lineRule="auto"/>
        <w:contextualSpacing w:val="0"/>
        <w:rPr>
          <w:rFonts w:cstheme="minorHAnsi"/>
        </w:rPr>
      </w:pPr>
      <w:r w:rsidRPr="00016CAC">
        <w:rPr>
          <w:rFonts w:cstheme="minorHAnsi"/>
        </w:rPr>
        <w:t>Contact Person Name and Title</w:t>
      </w:r>
    </w:p>
    <w:p w14:paraId="262E1489" w14:textId="77777777" w:rsidR="00E44C2C" w:rsidRPr="00016CAC" w:rsidRDefault="00E44C2C" w:rsidP="00E44C2C">
      <w:pPr>
        <w:pStyle w:val="ListParagraph"/>
        <w:widowControl w:val="0"/>
        <w:numPr>
          <w:ilvl w:val="1"/>
          <w:numId w:val="11"/>
        </w:numPr>
        <w:autoSpaceDE w:val="0"/>
        <w:autoSpaceDN w:val="0"/>
        <w:spacing w:after="0" w:line="276" w:lineRule="auto"/>
        <w:contextualSpacing w:val="0"/>
        <w:rPr>
          <w:rFonts w:cstheme="minorHAnsi"/>
        </w:rPr>
      </w:pPr>
      <w:r w:rsidRPr="00016CAC">
        <w:rPr>
          <w:rFonts w:cstheme="minorHAnsi"/>
        </w:rPr>
        <w:t>Phone number</w:t>
      </w:r>
    </w:p>
    <w:p w14:paraId="50D68AEF" w14:textId="77777777" w:rsidR="00E44C2C" w:rsidRPr="00016CAC" w:rsidRDefault="00E44C2C" w:rsidP="00E44C2C">
      <w:pPr>
        <w:pStyle w:val="ListParagraph"/>
        <w:widowControl w:val="0"/>
        <w:numPr>
          <w:ilvl w:val="1"/>
          <w:numId w:val="11"/>
        </w:numPr>
        <w:autoSpaceDE w:val="0"/>
        <w:autoSpaceDN w:val="0"/>
        <w:spacing w:after="0" w:line="276" w:lineRule="auto"/>
        <w:contextualSpacing w:val="0"/>
        <w:rPr>
          <w:rFonts w:cstheme="minorHAnsi"/>
        </w:rPr>
      </w:pPr>
      <w:r w:rsidRPr="00016CAC">
        <w:rPr>
          <w:rFonts w:cstheme="minorHAnsi"/>
        </w:rPr>
        <w:t>Email</w:t>
      </w:r>
    </w:p>
    <w:p w14:paraId="5534CF76" w14:textId="4E6C02DF" w:rsidR="00E44C2C" w:rsidRPr="00992939" w:rsidRDefault="00E44C2C" w:rsidP="00B6515F">
      <w:pPr>
        <w:pStyle w:val="ListParagraph"/>
        <w:widowControl w:val="0"/>
        <w:numPr>
          <w:ilvl w:val="0"/>
          <w:numId w:val="11"/>
        </w:numPr>
        <w:autoSpaceDE w:val="0"/>
        <w:autoSpaceDN w:val="0"/>
        <w:spacing w:after="0" w:line="276" w:lineRule="auto"/>
        <w:contextualSpacing w:val="0"/>
        <w:rPr>
          <w:rFonts w:cstheme="minorHAnsi"/>
          <w:sz w:val="24"/>
          <w:szCs w:val="24"/>
        </w:rPr>
      </w:pPr>
      <w:r w:rsidRPr="00992939">
        <w:rPr>
          <w:rFonts w:cstheme="minorHAnsi"/>
          <w:u w:val="single"/>
        </w:rPr>
        <w:t>If submitting a collaborative application</w:t>
      </w:r>
      <w:r w:rsidRPr="00992939">
        <w:rPr>
          <w:rFonts w:cstheme="minorHAnsi"/>
        </w:rPr>
        <w:t>, a list of all organizations participating in the CHI.</w:t>
      </w:r>
    </w:p>
    <w:p w14:paraId="6607C7B1" w14:textId="5B281887" w:rsidR="00E44C2C" w:rsidRPr="004C2B9A" w:rsidRDefault="00E44C2C" w:rsidP="00E44C2C">
      <w:pPr>
        <w:pStyle w:val="Heading2"/>
      </w:pPr>
      <w:r>
        <w:t>Narrative</w:t>
      </w:r>
    </w:p>
    <w:p w14:paraId="5384CBBC" w14:textId="6218F996" w:rsidR="00E44C2C" w:rsidRPr="0011591B" w:rsidRDefault="00E44C2C" w:rsidP="002F14F4">
      <w:pPr>
        <w:pStyle w:val="BodyText"/>
        <w:spacing w:after="120" w:line="276" w:lineRule="auto"/>
        <w:ind w:right="348"/>
        <w:rPr>
          <w:rFonts w:asciiTheme="minorHAnsi" w:hAnsiTheme="minorHAnsi" w:cstheme="minorHAnsi"/>
          <w:bCs/>
          <w:sz w:val="22"/>
          <w:szCs w:val="22"/>
        </w:rPr>
      </w:pPr>
      <w:r w:rsidRPr="0011591B">
        <w:rPr>
          <w:rFonts w:asciiTheme="minorHAnsi" w:hAnsiTheme="minorHAnsi" w:cstheme="minorHAnsi"/>
          <w:b/>
          <w:sz w:val="22"/>
          <w:szCs w:val="22"/>
        </w:rPr>
        <w:t xml:space="preserve">The Narrative should be no more than </w:t>
      </w:r>
      <w:r w:rsidR="00442504" w:rsidRPr="00442504">
        <w:rPr>
          <w:rFonts w:asciiTheme="minorHAnsi" w:hAnsiTheme="minorHAnsi" w:cstheme="minorHAnsi"/>
          <w:b/>
          <w:sz w:val="22"/>
          <w:szCs w:val="22"/>
          <w:u w:val="single"/>
        </w:rPr>
        <w:t>10</w:t>
      </w:r>
      <w:r w:rsidRPr="00442504">
        <w:rPr>
          <w:rFonts w:asciiTheme="minorHAnsi" w:hAnsiTheme="minorHAnsi" w:cstheme="minorHAnsi"/>
          <w:b/>
          <w:sz w:val="22"/>
          <w:szCs w:val="22"/>
          <w:u w:val="single"/>
        </w:rPr>
        <w:t xml:space="preserve"> pages</w:t>
      </w:r>
      <w:r w:rsidRPr="0011591B">
        <w:rPr>
          <w:rFonts w:asciiTheme="minorHAnsi" w:hAnsiTheme="minorHAnsi" w:cstheme="minorHAnsi"/>
          <w:b/>
          <w:sz w:val="22"/>
          <w:szCs w:val="22"/>
          <w:u w:val="single"/>
        </w:rPr>
        <w:t>, single-spaced, 12 pt font</w:t>
      </w:r>
      <w:r w:rsidRPr="0011591B">
        <w:rPr>
          <w:rFonts w:asciiTheme="minorHAnsi" w:hAnsiTheme="minorHAnsi" w:cstheme="minorHAnsi"/>
          <w:b/>
          <w:sz w:val="22"/>
          <w:szCs w:val="22"/>
        </w:rPr>
        <w:t xml:space="preserve">. </w:t>
      </w:r>
      <w:r w:rsidR="002F14F4" w:rsidRPr="0011591B">
        <w:rPr>
          <w:rFonts w:asciiTheme="minorHAnsi" w:hAnsiTheme="minorHAnsi" w:cstheme="minorHAnsi"/>
          <w:sz w:val="22"/>
          <w:szCs w:val="22"/>
        </w:rPr>
        <w:t xml:space="preserve">Please organize the narrative using the </w:t>
      </w:r>
      <w:r w:rsidR="00442504">
        <w:rPr>
          <w:rFonts w:asciiTheme="minorHAnsi" w:hAnsiTheme="minorHAnsi" w:cstheme="minorHAnsi"/>
          <w:sz w:val="22"/>
          <w:szCs w:val="22"/>
        </w:rPr>
        <w:t>six</w:t>
      </w:r>
      <w:r w:rsidR="002F14F4" w:rsidRPr="0011591B">
        <w:rPr>
          <w:rFonts w:asciiTheme="minorHAnsi" w:hAnsiTheme="minorHAnsi" w:cstheme="minorHAnsi"/>
          <w:sz w:val="22"/>
          <w:szCs w:val="22"/>
        </w:rPr>
        <w:t xml:space="preserve"> sections/headings outlined below: </w:t>
      </w:r>
    </w:p>
    <w:p w14:paraId="6CEDBC61" w14:textId="1FE4DB86" w:rsidR="00442504" w:rsidRPr="00442504" w:rsidRDefault="00E44C2C" w:rsidP="008D1DB6">
      <w:pPr>
        <w:pStyle w:val="ListParagraph"/>
        <w:widowControl w:val="0"/>
        <w:numPr>
          <w:ilvl w:val="0"/>
          <w:numId w:val="9"/>
        </w:numPr>
        <w:autoSpaceDE w:val="0"/>
        <w:autoSpaceDN w:val="0"/>
        <w:spacing w:after="0" w:line="276" w:lineRule="auto"/>
        <w:contextualSpacing w:val="0"/>
        <w:rPr>
          <w:rFonts w:cstheme="minorHAnsi"/>
          <w:sz w:val="24"/>
          <w:szCs w:val="24"/>
        </w:rPr>
      </w:pPr>
      <w:r w:rsidRPr="008D1DB6">
        <w:rPr>
          <w:rFonts w:cstheme="minorHAnsi"/>
          <w:b/>
        </w:rPr>
        <w:t>Organizational Overview (20 points</w:t>
      </w:r>
      <w:r w:rsidR="008D1DB6">
        <w:rPr>
          <w:rFonts w:cstheme="minorHAnsi"/>
          <w:b/>
        </w:rPr>
        <w:t>, 2 pages</w:t>
      </w:r>
      <w:r w:rsidRPr="008D1DB6">
        <w:rPr>
          <w:rFonts w:cstheme="minorHAnsi"/>
          <w:b/>
        </w:rPr>
        <w:t>)</w:t>
      </w:r>
    </w:p>
    <w:p w14:paraId="60A4AE1D" w14:textId="3CE38940" w:rsidR="00B6515F" w:rsidRDefault="005601B8" w:rsidP="00992939">
      <w:pPr>
        <w:widowControl w:val="0"/>
        <w:autoSpaceDE w:val="0"/>
        <w:autoSpaceDN w:val="0"/>
        <w:spacing w:after="0" w:line="276" w:lineRule="auto"/>
        <w:rPr>
          <w:rFonts w:cstheme="minorHAnsi"/>
        </w:rPr>
      </w:pPr>
      <w:r w:rsidRPr="00442504">
        <w:rPr>
          <w:rFonts w:cstheme="minorHAnsi"/>
          <w:b/>
        </w:rPr>
        <w:t>P</w:t>
      </w:r>
      <w:r w:rsidR="00734EA2" w:rsidRPr="00442504">
        <w:rPr>
          <w:rFonts w:cstheme="minorHAnsi"/>
          <w:b/>
        </w:rPr>
        <w:t xml:space="preserve">rovide information about your organization, </w:t>
      </w:r>
      <w:r w:rsidR="00734EA2" w:rsidRPr="00442504">
        <w:rPr>
          <w:rFonts w:cstheme="minorHAnsi"/>
        </w:rPr>
        <w:t xml:space="preserve">including </w:t>
      </w:r>
      <w:r w:rsidR="008D1DB6" w:rsidRPr="00442504">
        <w:rPr>
          <w:rFonts w:cstheme="minorHAnsi"/>
        </w:rPr>
        <w:t xml:space="preserve">an overview </w:t>
      </w:r>
      <w:r w:rsidR="00B87AC0">
        <w:rPr>
          <w:rFonts w:cstheme="minorHAnsi"/>
        </w:rPr>
        <w:t xml:space="preserve">of </w:t>
      </w:r>
      <w:r w:rsidR="008D1DB6" w:rsidRPr="00442504">
        <w:rPr>
          <w:rFonts w:cstheme="minorHAnsi"/>
        </w:rPr>
        <w:t xml:space="preserve">organizational capability, </w:t>
      </w:r>
      <w:r w:rsidR="00E44C2C" w:rsidRPr="00442504">
        <w:rPr>
          <w:rFonts w:cstheme="minorHAnsi"/>
        </w:rPr>
        <w:t xml:space="preserve">how your organizational mission aligns with the </w:t>
      </w:r>
      <w:r w:rsidR="006D2C49" w:rsidRPr="00442504">
        <w:rPr>
          <w:rFonts w:cstheme="minorHAnsi"/>
        </w:rPr>
        <w:t>CHI</w:t>
      </w:r>
      <w:r w:rsidR="00E44C2C" w:rsidRPr="00442504">
        <w:rPr>
          <w:rFonts w:cstheme="minorHAnsi"/>
        </w:rPr>
        <w:t xml:space="preserve"> goal</w:t>
      </w:r>
      <w:r w:rsidR="00734EA2" w:rsidRPr="00442504">
        <w:rPr>
          <w:rFonts w:cstheme="minorHAnsi"/>
        </w:rPr>
        <w:t xml:space="preserve">, </w:t>
      </w:r>
      <w:r w:rsidR="00E44C2C" w:rsidRPr="00442504">
        <w:rPr>
          <w:rFonts w:cstheme="minorHAnsi"/>
        </w:rPr>
        <w:t xml:space="preserve">experience </w:t>
      </w:r>
      <w:r w:rsidR="006D2C49" w:rsidRPr="00442504">
        <w:rPr>
          <w:rFonts w:cstheme="minorHAnsi"/>
        </w:rPr>
        <w:t>implementing PSE change approaches</w:t>
      </w:r>
      <w:r w:rsidR="008D1DB6" w:rsidRPr="00442504">
        <w:rPr>
          <w:rFonts w:cstheme="minorHAnsi"/>
        </w:rPr>
        <w:t xml:space="preserve">, </w:t>
      </w:r>
      <w:r w:rsidR="00E44C2C" w:rsidRPr="00442504">
        <w:rPr>
          <w:rFonts w:cstheme="minorHAnsi"/>
        </w:rPr>
        <w:t xml:space="preserve">experience </w:t>
      </w:r>
      <w:r w:rsidR="006D2C49" w:rsidRPr="00442504">
        <w:rPr>
          <w:rFonts w:cstheme="minorHAnsi"/>
        </w:rPr>
        <w:t xml:space="preserve">providing </w:t>
      </w:r>
      <w:r w:rsidR="00CF4AAB" w:rsidRPr="00442504">
        <w:rPr>
          <w:rFonts w:cstheme="minorHAnsi"/>
        </w:rPr>
        <w:t xml:space="preserve">direct </w:t>
      </w:r>
      <w:r w:rsidR="006D2C49" w:rsidRPr="00442504">
        <w:rPr>
          <w:rFonts w:cstheme="minorHAnsi"/>
        </w:rPr>
        <w:t>transportation assistance</w:t>
      </w:r>
      <w:r w:rsidR="008D1DB6" w:rsidRPr="00442504">
        <w:rPr>
          <w:rFonts w:cstheme="minorHAnsi"/>
        </w:rPr>
        <w:t xml:space="preserve">, and </w:t>
      </w:r>
      <w:r w:rsidR="00E44C2C" w:rsidRPr="00442504">
        <w:rPr>
          <w:rFonts w:cstheme="minorHAnsi"/>
        </w:rPr>
        <w:t xml:space="preserve">evidence of </w:t>
      </w:r>
      <w:r w:rsidR="006D2C49" w:rsidRPr="00442504">
        <w:rPr>
          <w:rFonts w:cstheme="minorHAnsi"/>
        </w:rPr>
        <w:t>your organization’s presence in or connection to the City of Waltham.</w:t>
      </w:r>
      <w:r w:rsidR="008D1DB6" w:rsidRPr="00442504">
        <w:rPr>
          <w:rFonts w:cstheme="minorHAnsi"/>
        </w:rPr>
        <w:t xml:space="preserve"> </w:t>
      </w:r>
    </w:p>
    <w:p w14:paraId="7F9BCB23" w14:textId="1C023539" w:rsidR="008D1DB6" w:rsidRDefault="00E44C2C" w:rsidP="00FD2AD7">
      <w:pPr>
        <w:widowControl w:val="0"/>
        <w:autoSpaceDE w:val="0"/>
        <w:autoSpaceDN w:val="0"/>
        <w:spacing w:before="120" w:after="0" w:line="276" w:lineRule="auto"/>
        <w:rPr>
          <w:rFonts w:cstheme="minorHAnsi"/>
          <w:sz w:val="24"/>
          <w:szCs w:val="24"/>
        </w:rPr>
      </w:pPr>
      <w:r w:rsidRPr="00442504">
        <w:rPr>
          <w:rFonts w:cstheme="minorHAnsi"/>
          <w:u w:val="single"/>
        </w:rPr>
        <w:t>If a collaborative applicant</w:t>
      </w:r>
      <w:r w:rsidRPr="00442504">
        <w:rPr>
          <w:rFonts w:cstheme="minorHAnsi"/>
        </w:rPr>
        <w:t xml:space="preserve">, provide </w:t>
      </w:r>
      <w:r w:rsidR="008D1DB6" w:rsidRPr="00442504">
        <w:rPr>
          <w:rFonts w:cstheme="minorHAnsi"/>
          <w:b/>
          <w:bCs/>
        </w:rPr>
        <w:t>brief</w:t>
      </w:r>
      <w:r w:rsidR="008D1DB6" w:rsidRPr="00442504">
        <w:rPr>
          <w:rFonts w:cstheme="minorHAnsi"/>
        </w:rPr>
        <w:t xml:space="preserve"> </w:t>
      </w:r>
      <w:r w:rsidRPr="00442504">
        <w:rPr>
          <w:rFonts w:cstheme="minorHAnsi"/>
        </w:rPr>
        <w:t xml:space="preserve">descriptions of </w:t>
      </w:r>
      <w:r w:rsidR="008D1DB6" w:rsidRPr="00442504">
        <w:rPr>
          <w:rFonts w:cstheme="minorHAnsi"/>
        </w:rPr>
        <w:t xml:space="preserve">what capabilities each partner </w:t>
      </w:r>
      <w:r w:rsidRPr="00442504">
        <w:rPr>
          <w:rFonts w:cstheme="minorHAnsi"/>
        </w:rPr>
        <w:t xml:space="preserve">brings </w:t>
      </w:r>
      <w:r w:rsidR="008D1DB6" w:rsidRPr="00442504">
        <w:rPr>
          <w:rFonts w:cstheme="minorHAnsi"/>
        </w:rPr>
        <w:t>to the work.</w:t>
      </w:r>
      <w:r w:rsidR="008D1DB6" w:rsidRPr="00442504">
        <w:rPr>
          <w:rFonts w:cstheme="minorHAnsi"/>
          <w:sz w:val="24"/>
          <w:szCs w:val="24"/>
        </w:rPr>
        <w:t xml:space="preserve"> </w:t>
      </w:r>
    </w:p>
    <w:p w14:paraId="47A76886" w14:textId="77777777" w:rsidR="00FD2AD7" w:rsidRDefault="00FD2AD7" w:rsidP="00FD2AD7">
      <w:pPr>
        <w:widowControl w:val="0"/>
        <w:autoSpaceDE w:val="0"/>
        <w:autoSpaceDN w:val="0"/>
        <w:spacing w:before="120" w:after="0" w:line="276" w:lineRule="auto"/>
        <w:rPr>
          <w:rFonts w:cstheme="minorHAnsi"/>
          <w:sz w:val="24"/>
          <w:szCs w:val="24"/>
        </w:rPr>
      </w:pPr>
    </w:p>
    <w:p w14:paraId="70CD66CB" w14:textId="29C66325" w:rsidR="00E44C2C" w:rsidRDefault="00B81BC7" w:rsidP="002F14F4">
      <w:pPr>
        <w:pStyle w:val="ListParagraph"/>
        <w:widowControl w:val="0"/>
        <w:numPr>
          <w:ilvl w:val="0"/>
          <w:numId w:val="9"/>
        </w:numPr>
        <w:autoSpaceDE w:val="0"/>
        <w:autoSpaceDN w:val="0"/>
        <w:spacing w:after="0" w:line="276" w:lineRule="auto"/>
        <w:contextualSpacing w:val="0"/>
        <w:rPr>
          <w:rFonts w:cstheme="minorHAnsi"/>
          <w:b/>
        </w:rPr>
      </w:pPr>
      <w:r w:rsidRPr="00016CAC">
        <w:rPr>
          <w:rFonts w:cstheme="minorHAnsi"/>
          <w:b/>
        </w:rPr>
        <w:t>Systemic Barriers</w:t>
      </w:r>
      <w:r w:rsidR="00E44C2C" w:rsidRPr="00016CAC">
        <w:rPr>
          <w:rFonts w:cstheme="minorHAnsi"/>
          <w:b/>
        </w:rPr>
        <w:t xml:space="preserve"> (</w:t>
      </w:r>
      <w:r w:rsidR="008D1DB6">
        <w:rPr>
          <w:rFonts w:cstheme="minorHAnsi"/>
          <w:b/>
        </w:rPr>
        <w:t>20</w:t>
      </w:r>
      <w:r w:rsidR="00E44C2C" w:rsidRPr="00016CAC">
        <w:rPr>
          <w:rFonts w:cstheme="minorHAnsi"/>
          <w:b/>
        </w:rPr>
        <w:t xml:space="preserve"> points</w:t>
      </w:r>
      <w:r w:rsidR="008D1DB6">
        <w:rPr>
          <w:rFonts w:cstheme="minorHAnsi"/>
          <w:b/>
        </w:rPr>
        <w:t>, 2 pages</w:t>
      </w:r>
      <w:r w:rsidR="00E44C2C" w:rsidRPr="00016CAC">
        <w:rPr>
          <w:rFonts w:cstheme="minorHAnsi"/>
          <w:b/>
        </w:rPr>
        <w:t>)</w:t>
      </w:r>
    </w:p>
    <w:p w14:paraId="757411C1" w14:textId="08E928A2" w:rsidR="002F14F4" w:rsidRPr="00CF4AAB" w:rsidRDefault="008D1DB6" w:rsidP="00992939">
      <w:pPr>
        <w:widowControl w:val="0"/>
        <w:autoSpaceDE w:val="0"/>
        <w:autoSpaceDN w:val="0"/>
        <w:spacing w:after="0" w:line="276" w:lineRule="auto"/>
        <w:rPr>
          <w:rFonts w:cstheme="minorHAnsi"/>
        </w:rPr>
      </w:pPr>
      <w:r w:rsidRPr="00CF4AAB">
        <w:rPr>
          <w:rFonts w:cstheme="minorHAnsi"/>
          <w:b/>
        </w:rPr>
        <w:t xml:space="preserve">Specify which </w:t>
      </w:r>
      <w:r w:rsidR="00CF4AAB" w:rsidRPr="00CF4AAB">
        <w:rPr>
          <w:rFonts w:cstheme="minorHAnsi"/>
          <w:b/>
          <w:bCs/>
        </w:rPr>
        <w:t>systemic</w:t>
      </w:r>
      <w:r w:rsidR="00CF4AAB" w:rsidRPr="00CF4AAB">
        <w:rPr>
          <w:rFonts w:cstheme="minorHAnsi"/>
        </w:rPr>
        <w:t xml:space="preserve"> </w:t>
      </w:r>
      <w:r w:rsidRPr="00CF4AAB">
        <w:rPr>
          <w:rFonts w:cstheme="minorHAnsi"/>
          <w:b/>
        </w:rPr>
        <w:t xml:space="preserve">barriers you will address, </w:t>
      </w:r>
      <w:r w:rsidRPr="00CF4AAB">
        <w:rPr>
          <w:rFonts w:cstheme="minorHAnsi"/>
          <w:bCs/>
        </w:rPr>
        <w:t>and for</w:t>
      </w:r>
      <w:r w:rsidRPr="00CF4AAB">
        <w:rPr>
          <w:rFonts w:cstheme="minorHAnsi"/>
          <w:b/>
        </w:rPr>
        <w:t xml:space="preserve"> </w:t>
      </w:r>
      <w:r w:rsidR="00B81BC7" w:rsidRPr="00CF4AAB">
        <w:rPr>
          <w:rFonts w:cstheme="minorHAnsi"/>
        </w:rPr>
        <w:t xml:space="preserve">each barrier, </w:t>
      </w:r>
      <w:r w:rsidRPr="00CF4AAB">
        <w:rPr>
          <w:rFonts w:cstheme="minorHAnsi"/>
        </w:rPr>
        <w:t xml:space="preserve">provide a rationale for selecting the barrier </w:t>
      </w:r>
      <w:r w:rsidR="00442504">
        <w:rPr>
          <w:rFonts w:cstheme="minorHAnsi"/>
        </w:rPr>
        <w:t>and share</w:t>
      </w:r>
      <w:r w:rsidR="00CF4AAB" w:rsidRPr="00CF4AAB">
        <w:rPr>
          <w:rFonts w:cstheme="minorHAnsi"/>
        </w:rPr>
        <w:t xml:space="preserve"> what first-hand knowledge your organization has related to the selected barriers, including any quantitative or qualitative data you have about each barrier.</w:t>
      </w:r>
      <w:r w:rsidR="00442504">
        <w:rPr>
          <w:rFonts w:cstheme="minorHAnsi"/>
        </w:rPr>
        <w:t xml:space="preserve"> </w:t>
      </w:r>
      <w:r w:rsidR="00442504">
        <w:rPr>
          <w:rFonts w:cstheme="minorHAnsi"/>
        </w:rPr>
        <w:br/>
      </w:r>
      <w:r w:rsidR="00442504">
        <w:rPr>
          <w:rFonts w:cstheme="minorHAnsi"/>
        </w:rPr>
        <w:br/>
      </w:r>
      <w:r w:rsidR="00442504" w:rsidRPr="00992939">
        <w:rPr>
          <w:rFonts w:cstheme="minorHAnsi"/>
          <w:b/>
          <w:bCs/>
        </w:rPr>
        <w:t>For each barrier,</w:t>
      </w:r>
      <w:r w:rsidR="00442504">
        <w:rPr>
          <w:rFonts w:cstheme="minorHAnsi"/>
        </w:rPr>
        <w:t xml:space="preserve"> </w:t>
      </w:r>
      <w:r w:rsidR="00B81BC7" w:rsidRPr="00992939">
        <w:rPr>
          <w:rFonts w:cstheme="minorHAnsi"/>
          <w:b/>
          <w:bCs/>
        </w:rPr>
        <w:t>i</w:t>
      </w:r>
      <w:r w:rsidR="00E44C2C" w:rsidRPr="00992939">
        <w:rPr>
          <w:rFonts w:cstheme="minorHAnsi"/>
          <w:b/>
          <w:bCs/>
        </w:rPr>
        <w:t>dentify the measurable objectives</w:t>
      </w:r>
      <w:r w:rsidR="00E44C2C" w:rsidRPr="00CF4AAB">
        <w:rPr>
          <w:rFonts w:cstheme="minorHAnsi"/>
        </w:rPr>
        <w:t xml:space="preserve"> you will achieve</w:t>
      </w:r>
      <w:r w:rsidR="00442504">
        <w:rPr>
          <w:rFonts w:cstheme="minorHAnsi"/>
        </w:rPr>
        <w:t xml:space="preserve"> and provide </w:t>
      </w:r>
      <w:r w:rsidR="00B81BC7" w:rsidRPr="00CF4AAB">
        <w:rPr>
          <w:rFonts w:cstheme="minorHAnsi"/>
        </w:rPr>
        <w:t xml:space="preserve">estimates </w:t>
      </w:r>
      <w:r w:rsidR="002F14F4" w:rsidRPr="00CF4AAB">
        <w:rPr>
          <w:rFonts w:cstheme="minorHAnsi"/>
        </w:rPr>
        <w:t>of</w:t>
      </w:r>
      <w:r w:rsidR="00B81BC7" w:rsidRPr="00CF4AAB">
        <w:rPr>
          <w:rFonts w:cstheme="minorHAnsi"/>
        </w:rPr>
        <w:t xml:space="preserve"> the number of </w:t>
      </w:r>
      <w:r w:rsidR="00016CAC" w:rsidRPr="00CF4AAB">
        <w:rPr>
          <w:rFonts w:cstheme="minorHAnsi"/>
        </w:rPr>
        <w:t>residents</w:t>
      </w:r>
      <w:r w:rsidR="00B81BC7" w:rsidRPr="00CF4AAB">
        <w:rPr>
          <w:rFonts w:cstheme="minorHAnsi"/>
        </w:rPr>
        <w:t xml:space="preserve"> who will benefit from your PSE change efforts</w:t>
      </w:r>
      <w:r w:rsidRPr="00CF4AAB">
        <w:rPr>
          <w:rFonts w:cstheme="minorHAnsi"/>
        </w:rPr>
        <w:t xml:space="preserve"> and </w:t>
      </w:r>
      <w:r w:rsidR="00442504">
        <w:rPr>
          <w:rFonts w:cstheme="minorHAnsi"/>
        </w:rPr>
        <w:t xml:space="preserve">direct </w:t>
      </w:r>
      <w:r w:rsidR="00B81BC7" w:rsidRPr="00CF4AAB">
        <w:rPr>
          <w:rFonts w:cstheme="minorHAnsi"/>
        </w:rPr>
        <w:t>transportation assistance.</w:t>
      </w:r>
    </w:p>
    <w:p w14:paraId="1A49A405" w14:textId="3AD65683" w:rsidR="00E44C2C" w:rsidRPr="00506029" w:rsidRDefault="00E44C2C" w:rsidP="002F14F4">
      <w:pPr>
        <w:pStyle w:val="ListParagraph"/>
        <w:widowControl w:val="0"/>
        <w:numPr>
          <w:ilvl w:val="0"/>
          <w:numId w:val="9"/>
        </w:numPr>
        <w:autoSpaceDE w:val="0"/>
        <w:autoSpaceDN w:val="0"/>
        <w:spacing w:after="0" w:line="276" w:lineRule="auto"/>
        <w:contextualSpacing w:val="0"/>
        <w:rPr>
          <w:rFonts w:cstheme="minorHAnsi"/>
          <w:b/>
        </w:rPr>
      </w:pPr>
      <w:r w:rsidRPr="00506029">
        <w:rPr>
          <w:rFonts w:cstheme="minorHAnsi"/>
          <w:b/>
        </w:rPr>
        <w:lastRenderedPageBreak/>
        <w:t>Proposed Approach (</w:t>
      </w:r>
      <w:r w:rsidR="00CF4AAB">
        <w:rPr>
          <w:rFonts w:cstheme="minorHAnsi"/>
          <w:b/>
        </w:rPr>
        <w:t>30</w:t>
      </w:r>
      <w:r w:rsidRPr="00506029">
        <w:rPr>
          <w:rFonts w:cstheme="minorHAnsi"/>
          <w:b/>
        </w:rPr>
        <w:t xml:space="preserve"> points</w:t>
      </w:r>
      <w:r w:rsidR="00CF4AAB">
        <w:rPr>
          <w:rFonts w:cstheme="minorHAnsi"/>
          <w:b/>
        </w:rPr>
        <w:t>, 3 pages</w:t>
      </w:r>
      <w:r w:rsidRPr="00506029">
        <w:rPr>
          <w:rFonts w:cstheme="minorHAnsi"/>
          <w:b/>
        </w:rPr>
        <w:t>)</w:t>
      </w:r>
    </w:p>
    <w:p w14:paraId="1703EA3D" w14:textId="4BC1B1C9" w:rsidR="00CF4AAB" w:rsidRDefault="00E44C2C" w:rsidP="00992939">
      <w:pPr>
        <w:widowControl w:val="0"/>
        <w:autoSpaceDE w:val="0"/>
        <w:autoSpaceDN w:val="0"/>
        <w:spacing w:after="0" w:line="276" w:lineRule="auto"/>
        <w:rPr>
          <w:rFonts w:cstheme="minorHAnsi"/>
        </w:rPr>
      </w:pPr>
      <w:r w:rsidRPr="00CF4AAB">
        <w:rPr>
          <w:rFonts w:cstheme="minorHAnsi"/>
          <w:b/>
          <w:bCs/>
        </w:rPr>
        <w:t xml:space="preserve">Describe your approach to addressing </w:t>
      </w:r>
      <w:r w:rsidR="00016CAC" w:rsidRPr="00CF4AAB">
        <w:rPr>
          <w:rFonts w:cstheme="minorHAnsi"/>
          <w:b/>
          <w:bCs/>
        </w:rPr>
        <w:t>one or more of the identified systemic barriers</w:t>
      </w:r>
      <w:r w:rsidR="00016CAC" w:rsidRPr="00CF4AAB">
        <w:rPr>
          <w:rFonts w:cstheme="minorHAnsi"/>
        </w:rPr>
        <w:t>, including what policy, systems, or environmental changes you will implement</w:t>
      </w:r>
      <w:r w:rsidR="003839EF" w:rsidRPr="00CF4AAB">
        <w:rPr>
          <w:rFonts w:cstheme="minorHAnsi"/>
        </w:rPr>
        <w:t xml:space="preserve"> </w:t>
      </w:r>
      <w:r w:rsidR="003839EF" w:rsidRPr="0058084C">
        <w:rPr>
          <w:rFonts w:cstheme="minorHAnsi"/>
          <w:u w:val="single"/>
        </w:rPr>
        <w:t>and</w:t>
      </w:r>
      <w:r w:rsidR="003839EF" w:rsidRPr="00CF4AAB">
        <w:rPr>
          <w:rFonts w:cstheme="minorHAnsi"/>
        </w:rPr>
        <w:t xml:space="preserve"> their associated activities</w:t>
      </w:r>
      <w:r w:rsidR="00CF4AAB">
        <w:rPr>
          <w:rFonts w:cstheme="minorHAnsi"/>
        </w:rPr>
        <w:t>, how you will leverage existing efforts in Waltham to address systemic barriers, and your plans for involving members of the priority population in your planning and implementation of PSE change.</w:t>
      </w:r>
      <w:r w:rsidR="00CF4AAB" w:rsidRPr="00CF4AAB">
        <w:rPr>
          <w:rFonts w:cstheme="minorHAnsi"/>
        </w:rPr>
        <w:t xml:space="preserve"> </w:t>
      </w:r>
    </w:p>
    <w:p w14:paraId="00100BED" w14:textId="604F95B8" w:rsidR="00992939" w:rsidRDefault="008F234A" w:rsidP="00992939">
      <w:pPr>
        <w:widowControl w:val="0"/>
        <w:autoSpaceDE w:val="0"/>
        <w:autoSpaceDN w:val="0"/>
        <w:spacing w:before="120" w:after="0" w:line="276" w:lineRule="auto"/>
        <w:rPr>
          <w:rFonts w:cstheme="minorHAnsi"/>
        </w:rPr>
      </w:pPr>
      <w:r>
        <w:rPr>
          <w:rFonts w:cstheme="minorHAnsi"/>
        </w:rPr>
        <w:t xml:space="preserve">If you </w:t>
      </w:r>
      <w:proofErr w:type="gramStart"/>
      <w:r>
        <w:rPr>
          <w:rFonts w:cstheme="minorHAnsi"/>
        </w:rPr>
        <w:t>are proposing</w:t>
      </w:r>
      <w:proofErr w:type="gramEnd"/>
      <w:r>
        <w:rPr>
          <w:rFonts w:cstheme="minorHAnsi"/>
        </w:rPr>
        <w:t xml:space="preserve"> to provide direct </w:t>
      </w:r>
      <w:r w:rsidRPr="004175A5">
        <w:rPr>
          <w:rFonts w:cstheme="minorHAnsi"/>
        </w:rPr>
        <w:t>transportation</w:t>
      </w:r>
      <w:r>
        <w:rPr>
          <w:rFonts w:cstheme="minorHAnsi"/>
        </w:rPr>
        <w:t xml:space="preserve"> services (e.g., public or private transportation vouchers), i</w:t>
      </w:r>
      <w:r w:rsidR="00CF4AAB" w:rsidRPr="00281820">
        <w:rPr>
          <w:rFonts w:cstheme="minorHAnsi"/>
        </w:rPr>
        <w:t>dentify the evidence-based or evidence-informed approach you will utilize to provide</w:t>
      </w:r>
      <w:r w:rsidR="00CF4AAB">
        <w:rPr>
          <w:rFonts w:cstheme="minorHAnsi"/>
        </w:rPr>
        <w:t xml:space="preserve"> </w:t>
      </w:r>
      <w:r>
        <w:rPr>
          <w:rFonts w:cstheme="minorHAnsi"/>
        </w:rPr>
        <w:t>that</w:t>
      </w:r>
      <w:r w:rsidR="00CF4AAB" w:rsidRPr="00281820">
        <w:rPr>
          <w:rFonts w:cstheme="minorHAnsi"/>
        </w:rPr>
        <w:t xml:space="preserve"> assistance. </w:t>
      </w:r>
    </w:p>
    <w:p w14:paraId="5FDE6E7A" w14:textId="09864BA1" w:rsidR="003839EF" w:rsidRPr="00016CAC" w:rsidRDefault="003839EF" w:rsidP="00992939">
      <w:pPr>
        <w:widowControl w:val="0"/>
        <w:autoSpaceDE w:val="0"/>
        <w:autoSpaceDN w:val="0"/>
        <w:spacing w:before="120" w:after="0" w:line="276" w:lineRule="auto"/>
        <w:rPr>
          <w:rFonts w:cstheme="minorHAnsi"/>
        </w:rPr>
      </w:pPr>
      <w:r w:rsidRPr="003839EF">
        <w:rPr>
          <w:rFonts w:cstheme="minorHAnsi"/>
          <w:u w:val="single"/>
        </w:rPr>
        <w:t>If a collaborative applicant</w:t>
      </w:r>
      <w:r w:rsidRPr="00016CAC">
        <w:rPr>
          <w:rFonts w:cstheme="minorHAnsi"/>
        </w:rPr>
        <w:t xml:space="preserve">, </w:t>
      </w:r>
      <w:r w:rsidR="00CF4AAB">
        <w:rPr>
          <w:rFonts w:cstheme="minorHAnsi"/>
        </w:rPr>
        <w:t>identify</w:t>
      </w:r>
      <w:r w:rsidRPr="00016CAC">
        <w:rPr>
          <w:rFonts w:cstheme="minorHAnsi"/>
        </w:rPr>
        <w:t xml:space="preserve"> which organization will be responsible for each activity and how the lead agency will manage the collaborative.</w:t>
      </w:r>
      <w:r w:rsidR="00CF4AAB">
        <w:rPr>
          <w:rFonts w:cstheme="minorHAnsi"/>
        </w:rPr>
        <w:br/>
      </w:r>
    </w:p>
    <w:p w14:paraId="70D92E51" w14:textId="4744D59A" w:rsidR="00E44C2C" w:rsidRPr="00506029" w:rsidRDefault="00E44C2C" w:rsidP="002F14F4">
      <w:pPr>
        <w:pStyle w:val="ListParagraph"/>
        <w:widowControl w:val="0"/>
        <w:numPr>
          <w:ilvl w:val="0"/>
          <w:numId w:val="9"/>
        </w:numPr>
        <w:autoSpaceDE w:val="0"/>
        <w:autoSpaceDN w:val="0"/>
        <w:spacing w:after="0" w:line="276" w:lineRule="auto"/>
        <w:contextualSpacing w:val="0"/>
        <w:rPr>
          <w:rFonts w:cstheme="minorHAnsi"/>
          <w:b/>
        </w:rPr>
      </w:pPr>
      <w:r w:rsidRPr="00506029">
        <w:rPr>
          <w:rFonts w:cstheme="minorHAnsi"/>
          <w:b/>
        </w:rPr>
        <w:t>Timeline (10 points</w:t>
      </w:r>
      <w:r w:rsidR="00CF4AAB">
        <w:rPr>
          <w:rFonts w:cstheme="minorHAnsi"/>
          <w:b/>
        </w:rPr>
        <w:t>, 1 page</w:t>
      </w:r>
      <w:r w:rsidRPr="00506029">
        <w:rPr>
          <w:rFonts w:cstheme="minorHAnsi"/>
          <w:b/>
        </w:rPr>
        <w:t>)</w:t>
      </w:r>
    </w:p>
    <w:p w14:paraId="6F6D0468" w14:textId="25F16866" w:rsidR="00E44C2C" w:rsidRPr="00506029" w:rsidRDefault="00442504" w:rsidP="00992939">
      <w:pPr>
        <w:widowControl w:val="0"/>
        <w:autoSpaceDE w:val="0"/>
        <w:autoSpaceDN w:val="0"/>
        <w:spacing w:after="0" w:line="276" w:lineRule="auto"/>
        <w:rPr>
          <w:rFonts w:cstheme="minorHAnsi"/>
        </w:rPr>
      </w:pPr>
      <w:r w:rsidRPr="00442504">
        <w:rPr>
          <w:rFonts w:cstheme="minorHAnsi"/>
          <w:b/>
          <w:bCs/>
        </w:rPr>
        <w:t xml:space="preserve">Provide </w:t>
      </w:r>
      <w:r w:rsidR="00E44C2C" w:rsidRPr="00442504">
        <w:rPr>
          <w:rFonts w:cstheme="minorHAnsi"/>
          <w:b/>
          <w:bCs/>
        </w:rPr>
        <w:t>a detailed monthly timeline</w:t>
      </w:r>
      <w:r w:rsidR="00E44C2C" w:rsidRPr="00CF4AAB">
        <w:rPr>
          <w:rFonts w:cstheme="minorHAnsi"/>
        </w:rPr>
        <w:t xml:space="preserve"> for the first year of grant funding</w:t>
      </w:r>
      <w:r w:rsidR="00CF4AAB">
        <w:rPr>
          <w:rFonts w:cstheme="minorHAnsi"/>
        </w:rPr>
        <w:t xml:space="preserve">. </w:t>
      </w:r>
      <w:r w:rsidR="00E44C2C" w:rsidRPr="00506029">
        <w:rPr>
          <w:rFonts w:cstheme="minorHAnsi"/>
        </w:rPr>
        <w:t>Specify the amount of time for planning</w:t>
      </w:r>
      <w:r w:rsidR="00506029">
        <w:rPr>
          <w:rFonts w:cstheme="minorHAnsi"/>
        </w:rPr>
        <w:t xml:space="preserve"> and start-up (maximum of three months) and </w:t>
      </w:r>
      <w:r w:rsidR="00CF4AAB">
        <w:rPr>
          <w:rFonts w:cstheme="minorHAnsi"/>
        </w:rPr>
        <w:t xml:space="preserve">specific </w:t>
      </w:r>
      <w:r w:rsidR="00CF4AAB" w:rsidRPr="00506029">
        <w:rPr>
          <w:rFonts w:cstheme="minorHAnsi"/>
        </w:rPr>
        <w:t>activities</w:t>
      </w:r>
      <w:r w:rsidR="00E44C2C" w:rsidRPr="00506029">
        <w:rPr>
          <w:rFonts w:cstheme="minorHAnsi"/>
        </w:rPr>
        <w:t xml:space="preserve"> to occur during that time</w:t>
      </w:r>
      <w:r w:rsidR="00506029">
        <w:rPr>
          <w:rFonts w:cstheme="minorHAnsi"/>
        </w:rPr>
        <w:t>.</w:t>
      </w:r>
      <w:r w:rsidR="00E44C2C" w:rsidRPr="00506029">
        <w:rPr>
          <w:rFonts w:cstheme="minorHAnsi"/>
        </w:rPr>
        <w:br/>
      </w:r>
    </w:p>
    <w:p w14:paraId="444EF7A0" w14:textId="0E5A868E" w:rsidR="00E44C2C" w:rsidRPr="00506029" w:rsidRDefault="00E44C2C" w:rsidP="002F14F4">
      <w:pPr>
        <w:pStyle w:val="ListParagraph"/>
        <w:widowControl w:val="0"/>
        <w:numPr>
          <w:ilvl w:val="0"/>
          <w:numId w:val="9"/>
        </w:numPr>
        <w:autoSpaceDE w:val="0"/>
        <w:autoSpaceDN w:val="0"/>
        <w:spacing w:after="0" w:line="276" w:lineRule="auto"/>
        <w:contextualSpacing w:val="0"/>
        <w:rPr>
          <w:rFonts w:cstheme="minorHAnsi"/>
        </w:rPr>
      </w:pPr>
      <w:r w:rsidRPr="00506029">
        <w:rPr>
          <w:rFonts w:cstheme="minorHAnsi"/>
          <w:b/>
        </w:rPr>
        <w:t>Evaluation (10 points</w:t>
      </w:r>
      <w:r w:rsidR="00CF4AAB">
        <w:rPr>
          <w:rFonts w:cstheme="minorHAnsi"/>
          <w:b/>
        </w:rPr>
        <w:t>, 1 page</w:t>
      </w:r>
      <w:r w:rsidRPr="00506029">
        <w:rPr>
          <w:rFonts w:cstheme="minorHAnsi"/>
          <w:b/>
        </w:rPr>
        <w:t>)</w:t>
      </w:r>
      <w:r w:rsidRPr="00506029">
        <w:rPr>
          <w:rFonts w:cstheme="minorHAnsi"/>
        </w:rPr>
        <w:t xml:space="preserve"> </w:t>
      </w:r>
    </w:p>
    <w:p w14:paraId="3E0A5C6F" w14:textId="79429015" w:rsidR="00E44C2C" w:rsidRPr="00442504" w:rsidRDefault="00E44C2C" w:rsidP="00992939">
      <w:pPr>
        <w:widowControl w:val="0"/>
        <w:autoSpaceDE w:val="0"/>
        <w:autoSpaceDN w:val="0"/>
        <w:spacing w:after="0" w:line="276" w:lineRule="auto"/>
        <w:rPr>
          <w:rFonts w:cstheme="minorHAnsi"/>
        </w:rPr>
      </w:pPr>
      <w:r w:rsidRPr="00442504">
        <w:rPr>
          <w:rFonts w:cstheme="minorHAnsi"/>
          <w:b/>
          <w:bCs/>
        </w:rPr>
        <w:t>Describe how you plan to assess grant progress and impact</w:t>
      </w:r>
      <w:r w:rsidR="00442504">
        <w:rPr>
          <w:rFonts w:cstheme="minorHAnsi"/>
        </w:rPr>
        <w:t xml:space="preserve">, including </w:t>
      </w:r>
      <w:r w:rsidRPr="00506029">
        <w:rPr>
          <w:rFonts w:cstheme="minorHAnsi"/>
        </w:rPr>
        <w:t>the specific data you will gather to demonstrate progress and impact</w:t>
      </w:r>
      <w:r w:rsidR="00442504">
        <w:rPr>
          <w:rFonts w:cstheme="minorHAnsi"/>
        </w:rPr>
        <w:t xml:space="preserve"> and </w:t>
      </w:r>
      <w:r w:rsidRPr="00506029">
        <w:rPr>
          <w:rFonts w:cstheme="minorHAnsi"/>
        </w:rPr>
        <w:t xml:space="preserve">who will be responsible for data gathering and reporting. </w:t>
      </w:r>
      <w:r w:rsidRPr="00442504">
        <w:rPr>
          <w:rFonts w:cstheme="minorHAnsi"/>
        </w:rPr>
        <w:t xml:space="preserve">State your commitment to </w:t>
      </w:r>
      <w:r w:rsidR="00913FFB" w:rsidRPr="00442504">
        <w:rPr>
          <w:rFonts w:cstheme="minorHAnsi"/>
        </w:rPr>
        <w:t>working</w:t>
      </w:r>
      <w:r w:rsidRPr="00442504">
        <w:rPr>
          <w:rFonts w:cstheme="minorHAnsi"/>
        </w:rPr>
        <w:t xml:space="preserve"> with UMDI to finalize an evaluation plan, collect and submit data, and participate in evaluation meetings.</w:t>
      </w:r>
      <w:r w:rsidRPr="00442504">
        <w:rPr>
          <w:rFonts w:cstheme="minorHAnsi"/>
          <w:sz w:val="24"/>
          <w:szCs w:val="24"/>
        </w:rPr>
        <w:t xml:space="preserve">  </w:t>
      </w:r>
      <w:r w:rsidRPr="00442504">
        <w:rPr>
          <w:rFonts w:cstheme="minorHAnsi"/>
          <w:sz w:val="24"/>
          <w:szCs w:val="24"/>
        </w:rPr>
        <w:br/>
      </w:r>
    </w:p>
    <w:p w14:paraId="2E88E9F7" w14:textId="42394077" w:rsidR="00E44C2C" w:rsidRPr="00506029" w:rsidRDefault="00E44C2C" w:rsidP="002F14F4">
      <w:pPr>
        <w:pStyle w:val="ListParagraph"/>
        <w:widowControl w:val="0"/>
        <w:numPr>
          <w:ilvl w:val="0"/>
          <w:numId w:val="9"/>
        </w:numPr>
        <w:autoSpaceDE w:val="0"/>
        <w:autoSpaceDN w:val="0"/>
        <w:spacing w:after="0" w:line="276" w:lineRule="auto"/>
        <w:contextualSpacing w:val="0"/>
        <w:rPr>
          <w:rFonts w:cstheme="minorHAnsi"/>
        </w:rPr>
      </w:pPr>
      <w:r w:rsidRPr="00506029">
        <w:rPr>
          <w:rFonts w:cstheme="minorHAnsi"/>
          <w:b/>
        </w:rPr>
        <w:t>Key staff (10 points</w:t>
      </w:r>
      <w:r w:rsidR="00442504">
        <w:rPr>
          <w:rFonts w:cstheme="minorHAnsi"/>
          <w:b/>
        </w:rPr>
        <w:t>, 1 page</w:t>
      </w:r>
      <w:r w:rsidRPr="00506029">
        <w:rPr>
          <w:rFonts w:cstheme="minorHAnsi"/>
          <w:b/>
        </w:rPr>
        <w:t>)</w:t>
      </w:r>
      <w:r w:rsidRPr="00506029">
        <w:rPr>
          <w:rFonts w:cstheme="minorHAnsi"/>
        </w:rPr>
        <w:t xml:space="preserve"> </w:t>
      </w:r>
    </w:p>
    <w:p w14:paraId="78A8ACEC" w14:textId="77777777" w:rsidR="00992939" w:rsidRDefault="00E44C2C" w:rsidP="00992939">
      <w:pPr>
        <w:widowControl w:val="0"/>
        <w:autoSpaceDE w:val="0"/>
        <w:autoSpaceDN w:val="0"/>
        <w:spacing w:after="0" w:line="276" w:lineRule="auto"/>
        <w:rPr>
          <w:rFonts w:cstheme="minorHAnsi"/>
        </w:rPr>
      </w:pPr>
      <w:r w:rsidRPr="00992939">
        <w:rPr>
          <w:rFonts w:cstheme="minorHAnsi"/>
          <w:b/>
          <w:bCs/>
        </w:rPr>
        <w:t>Identify key staff</w:t>
      </w:r>
      <w:r w:rsidRPr="00442504">
        <w:rPr>
          <w:rFonts w:cstheme="minorHAnsi"/>
        </w:rPr>
        <w:t xml:space="preserve">, </w:t>
      </w:r>
      <w:r w:rsidR="00442504">
        <w:rPr>
          <w:rFonts w:cstheme="minorHAnsi"/>
        </w:rPr>
        <w:t xml:space="preserve">including </w:t>
      </w:r>
      <w:r w:rsidR="00442504" w:rsidRPr="00442504">
        <w:rPr>
          <w:rFonts w:cstheme="minorHAnsi"/>
        </w:rPr>
        <w:t>their</w:t>
      </w:r>
      <w:r w:rsidRPr="00442504">
        <w:rPr>
          <w:rFonts w:cstheme="minorHAnsi"/>
        </w:rPr>
        <w:t xml:space="preserve"> role on the CHI and qualifications to fill their role.</w:t>
      </w:r>
    </w:p>
    <w:p w14:paraId="52A9C53A" w14:textId="02E079AE" w:rsidR="00E44C2C" w:rsidRPr="00442504" w:rsidRDefault="00E44C2C" w:rsidP="00992939">
      <w:pPr>
        <w:widowControl w:val="0"/>
        <w:autoSpaceDE w:val="0"/>
        <w:autoSpaceDN w:val="0"/>
        <w:spacing w:before="120" w:after="0" w:line="276" w:lineRule="auto"/>
        <w:rPr>
          <w:rFonts w:cstheme="minorHAnsi"/>
        </w:rPr>
      </w:pPr>
      <w:r w:rsidRPr="00442504">
        <w:rPr>
          <w:rFonts w:cstheme="minorHAnsi"/>
          <w:u w:val="single"/>
        </w:rPr>
        <w:t>If a collaborative applicant</w:t>
      </w:r>
      <w:r w:rsidRPr="00992939">
        <w:rPr>
          <w:rFonts w:cstheme="minorHAnsi"/>
        </w:rPr>
        <w:t xml:space="preserve">, </w:t>
      </w:r>
      <w:r w:rsidRPr="00442504">
        <w:rPr>
          <w:rFonts w:cstheme="minorHAnsi"/>
        </w:rPr>
        <w:t xml:space="preserve">identify key staff from each of the collaborative organizations, state their role on the CHI, and describe their qualifications to fill their role. </w:t>
      </w:r>
    </w:p>
    <w:p w14:paraId="4B57C1FC" w14:textId="5365DE09" w:rsidR="00E44C2C" w:rsidRPr="002F14F4" w:rsidRDefault="00E44C2C" w:rsidP="002F14F4">
      <w:pPr>
        <w:pStyle w:val="Heading2"/>
      </w:pPr>
      <w:r w:rsidRPr="002F14F4">
        <w:t xml:space="preserve">Attachments: Attachments are not included in the </w:t>
      </w:r>
      <w:r w:rsidR="00913FFB">
        <w:t>10</w:t>
      </w:r>
      <w:r w:rsidRPr="002F14F4">
        <w:t xml:space="preserve">-page Narrative limit. </w:t>
      </w:r>
    </w:p>
    <w:p w14:paraId="72EABA35" w14:textId="77777777" w:rsidR="00E44C2C" w:rsidRPr="00506029" w:rsidRDefault="00E44C2C" w:rsidP="000E69E6">
      <w:pPr>
        <w:pStyle w:val="ListParagraph"/>
        <w:widowControl w:val="0"/>
        <w:numPr>
          <w:ilvl w:val="0"/>
          <w:numId w:val="10"/>
        </w:numPr>
        <w:autoSpaceDE w:val="0"/>
        <w:autoSpaceDN w:val="0"/>
        <w:spacing w:after="0" w:line="276" w:lineRule="auto"/>
        <w:ind w:left="360"/>
        <w:contextualSpacing w:val="0"/>
        <w:rPr>
          <w:rFonts w:cstheme="minorHAnsi"/>
        </w:rPr>
      </w:pPr>
      <w:r w:rsidRPr="000E69E6">
        <w:rPr>
          <w:rFonts w:cstheme="minorHAnsi"/>
          <w:b/>
          <w:bCs/>
        </w:rPr>
        <w:t>Attachment A</w:t>
      </w:r>
      <w:r w:rsidRPr="00506029">
        <w:rPr>
          <w:rFonts w:cstheme="minorHAnsi"/>
        </w:rPr>
        <w:t xml:space="preserve">: Budget Template and Budget Narrative </w:t>
      </w:r>
    </w:p>
    <w:p w14:paraId="31F67F0A" w14:textId="48CAF44E" w:rsidR="00E44C2C" w:rsidRPr="00506029" w:rsidRDefault="00E44C2C" w:rsidP="000E69E6">
      <w:pPr>
        <w:pStyle w:val="ListParagraph"/>
        <w:widowControl w:val="0"/>
        <w:numPr>
          <w:ilvl w:val="0"/>
          <w:numId w:val="15"/>
        </w:numPr>
        <w:autoSpaceDE w:val="0"/>
        <w:autoSpaceDN w:val="0"/>
        <w:spacing w:after="0" w:line="276" w:lineRule="auto"/>
        <w:ind w:left="720"/>
        <w:contextualSpacing w:val="0"/>
        <w:rPr>
          <w:rFonts w:cstheme="minorHAnsi"/>
        </w:rPr>
      </w:pPr>
      <w:r w:rsidRPr="00506029">
        <w:rPr>
          <w:rFonts w:cstheme="minorHAnsi"/>
        </w:rPr>
        <w:t xml:space="preserve">The budget narrative must include a justification for each line item, including the amount of money set aside for </w:t>
      </w:r>
      <w:r w:rsidR="00506029" w:rsidRPr="00506029">
        <w:rPr>
          <w:rFonts w:cstheme="minorHAnsi"/>
        </w:rPr>
        <w:t>transportation assistance</w:t>
      </w:r>
      <w:r w:rsidRPr="00506029">
        <w:rPr>
          <w:rFonts w:cstheme="minorHAnsi"/>
        </w:rPr>
        <w:t xml:space="preserve">. The narrative should be specific enough for reviewers to assess the extent to which applicants are dedicating sufficient funds to </w:t>
      </w:r>
      <w:r w:rsidR="00506029" w:rsidRPr="00506029">
        <w:rPr>
          <w:rFonts w:cstheme="minorHAnsi"/>
        </w:rPr>
        <w:t>support the activities</w:t>
      </w:r>
      <w:r w:rsidRPr="00506029">
        <w:rPr>
          <w:rFonts w:cstheme="minorHAnsi"/>
        </w:rPr>
        <w:t xml:space="preserve">. </w:t>
      </w:r>
    </w:p>
    <w:p w14:paraId="7EA4DA96" w14:textId="27D30D7C" w:rsidR="00992939" w:rsidRPr="00992939" w:rsidRDefault="00E44C2C" w:rsidP="00FD2AD7">
      <w:pPr>
        <w:pStyle w:val="ListParagraph"/>
        <w:widowControl w:val="0"/>
        <w:numPr>
          <w:ilvl w:val="0"/>
          <w:numId w:val="15"/>
        </w:numPr>
        <w:autoSpaceDE w:val="0"/>
        <w:autoSpaceDN w:val="0"/>
        <w:spacing w:after="0" w:line="276" w:lineRule="auto"/>
        <w:ind w:left="720"/>
        <w:contextualSpacing w:val="0"/>
        <w:rPr>
          <w:rFonts w:cstheme="minorHAnsi"/>
        </w:rPr>
      </w:pPr>
      <w:r w:rsidRPr="00992939">
        <w:rPr>
          <w:rFonts w:cstheme="minorHAnsi"/>
        </w:rPr>
        <w:t>Annual budget amounts may not exceed the total available per year.</w:t>
      </w:r>
      <w:r w:rsidR="00992939" w:rsidRPr="00992939">
        <w:rPr>
          <w:rFonts w:cstheme="minorHAnsi"/>
        </w:rPr>
        <w:t xml:space="preserve"> In Year 1, $232,595 will be available. In Years 2 and 3, annual disbursements will be $230,000 per</w:t>
      </w:r>
      <w:r w:rsidR="00D24485">
        <w:rPr>
          <w:rFonts w:cstheme="minorHAnsi"/>
        </w:rPr>
        <w:t xml:space="preserve"> </w:t>
      </w:r>
      <w:r w:rsidR="00992939" w:rsidRPr="00992939">
        <w:rPr>
          <w:rFonts w:cstheme="minorHAnsi"/>
        </w:rPr>
        <w:t xml:space="preserve"> year.  </w:t>
      </w:r>
      <w:r w:rsidR="00992939" w:rsidRPr="00FD2AD7">
        <w:rPr>
          <w:rFonts w:cstheme="minorHAnsi"/>
        </w:rPr>
        <w:t xml:space="preserve"> </w:t>
      </w:r>
      <w:r w:rsidR="00992939" w:rsidRPr="00992939">
        <w:rPr>
          <w:rFonts w:cstheme="minorHAnsi"/>
        </w:rPr>
        <w:t xml:space="preserve"> </w:t>
      </w:r>
    </w:p>
    <w:p w14:paraId="043A6947" w14:textId="77777777" w:rsidR="00E44C2C" w:rsidRPr="00506029" w:rsidRDefault="00E44C2C" w:rsidP="000E69E6">
      <w:pPr>
        <w:pStyle w:val="ListParagraph"/>
        <w:widowControl w:val="0"/>
        <w:numPr>
          <w:ilvl w:val="0"/>
          <w:numId w:val="15"/>
        </w:numPr>
        <w:autoSpaceDE w:val="0"/>
        <w:autoSpaceDN w:val="0"/>
        <w:spacing w:after="0" w:line="276" w:lineRule="auto"/>
        <w:ind w:left="720"/>
        <w:contextualSpacing w:val="0"/>
        <w:rPr>
          <w:rFonts w:cstheme="minorHAnsi"/>
        </w:rPr>
      </w:pPr>
      <w:r w:rsidRPr="00506029">
        <w:rPr>
          <w:rFonts w:cstheme="minorHAnsi"/>
        </w:rPr>
        <w:t xml:space="preserve">Indirect rates may not exceed 25%. </w:t>
      </w:r>
    </w:p>
    <w:p w14:paraId="4FE56C15" w14:textId="77777777" w:rsidR="00E44C2C" w:rsidRPr="00506029" w:rsidRDefault="00E44C2C" w:rsidP="000E69E6">
      <w:pPr>
        <w:pStyle w:val="ListParagraph"/>
        <w:widowControl w:val="0"/>
        <w:numPr>
          <w:ilvl w:val="0"/>
          <w:numId w:val="15"/>
        </w:numPr>
        <w:autoSpaceDE w:val="0"/>
        <w:autoSpaceDN w:val="0"/>
        <w:spacing w:after="0" w:line="276" w:lineRule="auto"/>
        <w:ind w:left="720"/>
        <w:contextualSpacing w:val="0"/>
        <w:rPr>
          <w:rFonts w:cstheme="minorHAnsi"/>
        </w:rPr>
      </w:pPr>
      <w:r w:rsidRPr="00FD2AD7">
        <w:rPr>
          <w:rFonts w:cstheme="minorHAnsi"/>
          <w:u w:val="single"/>
        </w:rPr>
        <w:t>If applying as a collaborative</w:t>
      </w:r>
      <w:r w:rsidRPr="00506029">
        <w:rPr>
          <w:rFonts w:cstheme="minorHAnsi"/>
        </w:rPr>
        <w:t xml:space="preserve">, all organizations involved must have grant funds allocated to support their work. Each organization must submit a budget template and budget narrative. The combined budgets of the organizations must not exceed the total available per year.   </w:t>
      </w:r>
    </w:p>
    <w:p w14:paraId="0F39E527" w14:textId="315BBE20" w:rsidR="00992939" w:rsidRDefault="00E44C2C" w:rsidP="0018497F">
      <w:pPr>
        <w:pStyle w:val="ListParagraph"/>
        <w:widowControl w:val="0"/>
        <w:numPr>
          <w:ilvl w:val="0"/>
          <w:numId w:val="10"/>
        </w:numPr>
        <w:autoSpaceDE w:val="0"/>
        <w:autoSpaceDN w:val="0"/>
        <w:spacing w:before="120" w:after="0" w:line="276" w:lineRule="auto"/>
        <w:ind w:left="360"/>
        <w:contextualSpacing w:val="0"/>
        <w:rPr>
          <w:rFonts w:cstheme="minorHAnsi"/>
        </w:rPr>
      </w:pPr>
      <w:r w:rsidRPr="000E69E6">
        <w:rPr>
          <w:rFonts w:cstheme="minorHAnsi"/>
          <w:b/>
          <w:bCs/>
        </w:rPr>
        <w:t>Attachment B</w:t>
      </w:r>
      <w:r w:rsidRPr="00506029">
        <w:rPr>
          <w:rFonts w:cstheme="minorHAnsi"/>
        </w:rPr>
        <w:t>: Resumes (please limit to 2 pages per person) for each of the key staff listed in the narrative.</w:t>
      </w:r>
    </w:p>
    <w:p w14:paraId="3B18CE54" w14:textId="23E9921F" w:rsidR="00E44C2C" w:rsidRPr="00506029" w:rsidRDefault="00E44C2C" w:rsidP="0018497F">
      <w:pPr>
        <w:pStyle w:val="ListParagraph"/>
        <w:widowControl w:val="0"/>
        <w:numPr>
          <w:ilvl w:val="0"/>
          <w:numId w:val="10"/>
        </w:numPr>
        <w:autoSpaceDE w:val="0"/>
        <w:autoSpaceDN w:val="0"/>
        <w:spacing w:before="120" w:after="0" w:line="276" w:lineRule="auto"/>
        <w:ind w:left="360"/>
        <w:contextualSpacing w:val="0"/>
        <w:rPr>
          <w:rFonts w:cstheme="minorHAnsi"/>
        </w:rPr>
      </w:pPr>
      <w:r w:rsidRPr="000E69E6">
        <w:rPr>
          <w:rFonts w:cstheme="minorHAnsi"/>
          <w:b/>
          <w:bCs/>
        </w:rPr>
        <w:lastRenderedPageBreak/>
        <w:t>Attachment C</w:t>
      </w:r>
      <w:r w:rsidRPr="00506029">
        <w:rPr>
          <w:rFonts w:cstheme="minorHAnsi"/>
        </w:rPr>
        <w:t xml:space="preserve">: Most recent financial statement. </w:t>
      </w:r>
      <w:r w:rsidRPr="00506029">
        <w:rPr>
          <w:rFonts w:cstheme="minorHAnsi"/>
          <w:u w:val="single"/>
        </w:rPr>
        <w:t>If applying as a collaborative</w:t>
      </w:r>
      <w:r w:rsidRPr="00506029">
        <w:rPr>
          <w:rFonts w:cstheme="minorHAnsi"/>
        </w:rPr>
        <w:t>, the most recent financial statement for each organization in the collaborative.</w:t>
      </w:r>
    </w:p>
    <w:p w14:paraId="41B05018" w14:textId="77777777" w:rsidR="00E44C2C" w:rsidRPr="00506029" w:rsidRDefault="00E44C2C" w:rsidP="0018497F">
      <w:pPr>
        <w:pStyle w:val="ListParagraph"/>
        <w:widowControl w:val="0"/>
        <w:numPr>
          <w:ilvl w:val="0"/>
          <w:numId w:val="10"/>
        </w:numPr>
        <w:autoSpaceDE w:val="0"/>
        <w:autoSpaceDN w:val="0"/>
        <w:spacing w:before="120" w:after="0" w:line="276" w:lineRule="auto"/>
        <w:ind w:left="360"/>
        <w:contextualSpacing w:val="0"/>
        <w:rPr>
          <w:rFonts w:cstheme="minorHAnsi"/>
        </w:rPr>
      </w:pPr>
      <w:r w:rsidRPr="000E69E6">
        <w:rPr>
          <w:rFonts w:cstheme="minorHAnsi"/>
          <w:b/>
          <w:bCs/>
        </w:rPr>
        <w:t>Attachment D</w:t>
      </w:r>
      <w:r w:rsidRPr="00506029">
        <w:rPr>
          <w:rFonts w:cstheme="minorHAnsi"/>
        </w:rPr>
        <w:t xml:space="preserve">: </w:t>
      </w:r>
      <w:r w:rsidRPr="00506029">
        <w:rPr>
          <w:rFonts w:cstheme="minorHAnsi"/>
          <w:u w:val="single"/>
        </w:rPr>
        <w:t>If applying as a collaborative</w:t>
      </w:r>
      <w:r w:rsidRPr="00506029">
        <w:rPr>
          <w:rFonts w:cstheme="minorHAnsi"/>
        </w:rPr>
        <w:t xml:space="preserve">, MOUs between the lead agency and each organization in the collaborative. </w:t>
      </w:r>
      <w:r w:rsidRPr="00506029">
        <w:rPr>
          <w:rFonts w:cstheme="minorHAnsi"/>
          <w:u w:val="single"/>
        </w:rPr>
        <w:t>Single-organization applicants will not submit Attachment D</w:t>
      </w:r>
      <w:r w:rsidRPr="00506029">
        <w:rPr>
          <w:rFonts w:cstheme="minorHAnsi"/>
        </w:rPr>
        <w:t>.</w:t>
      </w:r>
    </w:p>
    <w:p w14:paraId="51D3BF1C" w14:textId="7FC6A714" w:rsidR="00E44C2C" w:rsidRPr="00506029" w:rsidRDefault="00E44C2C" w:rsidP="002F14F4">
      <w:pPr>
        <w:pStyle w:val="Heading1"/>
      </w:pPr>
      <w:r w:rsidRPr="00506029">
        <w:t>SUBMISSION GUIDELINES</w:t>
      </w:r>
    </w:p>
    <w:p w14:paraId="43576DBD" w14:textId="347811DA" w:rsidR="00E44C2C" w:rsidRPr="00506029" w:rsidRDefault="00E44C2C" w:rsidP="002F14F4">
      <w:pPr>
        <w:pStyle w:val="Heading2"/>
      </w:pPr>
      <w:r w:rsidRPr="00506029">
        <w:t xml:space="preserve">Applications Due on Friday, </w:t>
      </w:r>
      <w:r w:rsidR="002F14F4">
        <w:t xml:space="preserve">February 7, </w:t>
      </w:r>
      <w:proofErr w:type="gramStart"/>
      <w:r w:rsidR="002F14F4">
        <w:t>2025</w:t>
      </w:r>
      <w:proofErr w:type="gramEnd"/>
      <w:r w:rsidRPr="00506029">
        <w:t xml:space="preserve"> before 5:00 pm.</w:t>
      </w:r>
    </w:p>
    <w:p w14:paraId="0C19B9F7" w14:textId="77777777" w:rsidR="00E44C2C" w:rsidRPr="00506029" w:rsidRDefault="00E44C2C" w:rsidP="002F14F4">
      <w:pPr>
        <w:pStyle w:val="BodyText"/>
        <w:spacing w:after="120" w:line="276" w:lineRule="auto"/>
        <w:ind w:right="162"/>
        <w:rPr>
          <w:rFonts w:asciiTheme="minorHAnsi" w:hAnsiTheme="minorHAnsi" w:cstheme="minorHAnsi"/>
          <w:sz w:val="22"/>
          <w:szCs w:val="22"/>
        </w:rPr>
      </w:pPr>
      <w:r w:rsidRPr="00506029">
        <w:rPr>
          <w:rFonts w:asciiTheme="minorHAnsi" w:hAnsiTheme="minorHAnsi" w:cstheme="minorHAnsi"/>
          <w:sz w:val="22"/>
          <w:szCs w:val="22"/>
        </w:rPr>
        <w:t xml:space="preserve">All grant applications </w:t>
      </w:r>
      <w:r w:rsidRPr="00506029">
        <w:rPr>
          <w:rFonts w:asciiTheme="minorHAnsi" w:hAnsiTheme="minorHAnsi" w:cstheme="minorHAnsi"/>
          <w:sz w:val="22"/>
          <w:szCs w:val="22"/>
          <w:u w:val="single"/>
        </w:rPr>
        <w:t>must</w:t>
      </w:r>
      <w:r w:rsidRPr="00506029">
        <w:rPr>
          <w:rFonts w:asciiTheme="minorHAnsi" w:hAnsiTheme="minorHAnsi" w:cstheme="minorHAnsi"/>
          <w:sz w:val="22"/>
          <w:szCs w:val="22"/>
        </w:rPr>
        <w:t xml:space="preserve"> include a cover page, narrative, and all attachments. Applications submitted after the due date or missing any of the required sections will not be considered.  </w:t>
      </w:r>
    </w:p>
    <w:p w14:paraId="51FFE516" w14:textId="77777777" w:rsidR="00E44C2C" w:rsidRPr="00506029" w:rsidRDefault="00E44C2C" w:rsidP="002F14F4">
      <w:pPr>
        <w:pStyle w:val="BodyText"/>
        <w:spacing w:after="120" w:line="276" w:lineRule="auto"/>
        <w:ind w:right="162"/>
        <w:rPr>
          <w:rFonts w:asciiTheme="minorHAnsi" w:hAnsiTheme="minorHAnsi" w:cstheme="minorHAnsi"/>
          <w:sz w:val="22"/>
          <w:szCs w:val="22"/>
        </w:rPr>
      </w:pPr>
      <w:r w:rsidRPr="00506029">
        <w:rPr>
          <w:rFonts w:asciiTheme="minorHAnsi" w:hAnsiTheme="minorHAnsi" w:cstheme="minorHAnsi"/>
          <w:sz w:val="22"/>
          <w:szCs w:val="22"/>
        </w:rPr>
        <w:t xml:space="preserve">The cover page and narrative </w:t>
      </w:r>
      <w:r w:rsidRPr="00506029">
        <w:rPr>
          <w:rFonts w:asciiTheme="minorHAnsi" w:hAnsiTheme="minorHAnsi" w:cstheme="minorHAnsi"/>
          <w:sz w:val="22"/>
          <w:szCs w:val="22"/>
          <w:u w:val="single"/>
        </w:rPr>
        <w:t>must</w:t>
      </w:r>
      <w:r w:rsidRPr="00506029">
        <w:rPr>
          <w:rFonts w:asciiTheme="minorHAnsi" w:hAnsiTheme="minorHAnsi" w:cstheme="minorHAnsi"/>
          <w:sz w:val="22"/>
          <w:szCs w:val="22"/>
        </w:rPr>
        <w:t xml:space="preserve"> be submitted as one document. Attachments may be submitted as separate documents. </w:t>
      </w:r>
    </w:p>
    <w:p w14:paraId="7792A78E" w14:textId="18C0F6FC" w:rsidR="002F14F4" w:rsidRDefault="00E44C2C" w:rsidP="002F14F4">
      <w:pPr>
        <w:pStyle w:val="BodyText"/>
        <w:spacing w:after="120" w:line="276" w:lineRule="auto"/>
        <w:ind w:right="162"/>
        <w:rPr>
          <w:rFonts w:asciiTheme="minorHAnsi" w:hAnsiTheme="minorHAnsi" w:cstheme="minorHAnsi"/>
          <w:sz w:val="22"/>
          <w:szCs w:val="22"/>
        </w:rPr>
      </w:pPr>
      <w:r w:rsidRPr="00506029">
        <w:rPr>
          <w:rFonts w:asciiTheme="minorHAnsi" w:hAnsiTheme="minorHAnsi" w:cstheme="minorHAnsi"/>
          <w:sz w:val="22"/>
          <w:szCs w:val="22"/>
        </w:rPr>
        <w:t xml:space="preserve">Applications must be sent as email attachments to </w:t>
      </w:r>
      <w:hyperlink r:id="rId9" w:history="1">
        <w:r w:rsidR="00753176" w:rsidRPr="001F64F4">
          <w:rPr>
            <w:rStyle w:val="Hyperlink"/>
            <w:rFonts w:asciiTheme="minorHAnsi" w:hAnsiTheme="minorHAnsi" w:cstheme="minorHAnsi"/>
            <w:sz w:val="22"/>
            <w:szCs w:val="22"/>
          </w:rPr>
          <w:t>NWHcollaborative@partners.org</w:t>
        </w:r>
      </w:hyperlink>
      <w:r w:rsidRPr="00506029">
        <w:rPr>
          <w:rFonts w:asciiTheme="minorHAnsi" w:hAnsiTheme="minorHAnsi" w:cstheme="minorHAnsi"/>
          <w:color w:val="0000FF"/>
          <w:sz w:val="22"/>
          <w:szCs w:val="22"/>
        </w:rPr>
        <w:t xml:space="preserve"> </w:t>
      </w:r>
      <w:r w:rsidRPr="00506029">
        <w:rPr>
          <w:rFonts w:asciiTheme="minorHAnsi" w:hAnsiTheme="minorHAnsi" w:cstheme="minorHAnsi"/>
          <w:sz w:val="22"/>
          <w:szCs w:val="22"/>
        </w:rPr>
        <w:t xml:space="preserve">by the deadline with the subject line: </w:t>
      </w:r>
      <w:r w:rsidR="002F14F4">
        <w:rPr>
          <w:rFonts w:asciiTheme="minorHAnsi" w:hAnsiTheme="minorHAnsi" w:cstheme="minorHAnsi"/>
          <w:i/>
          <w:sz w:val="22"/>
          <w:szCs w:val="22"/>
        </w:rPr>
        <w:t>Community Connections</w:t>
      </w:r>
      <w:r w:rsidRPr="00506029">
        <w:rPr>
          <w:rFonts w:asciiTheme="minorHAnsi" w:hAnsiTheme="minorHAnsi" w:cstheme="minorHAnsi"/>
          <w:i/>
          <w:sz w:val="22"/>
          <w:szCs w:val="22"/>
        </w:rPr>
        <w:t xml:space="preserve"> CHI Proposal</w:t>
      </w:r>
      <w:r w:rsidRPr="00506029">
        <w:rPr>
          <w:rFonts w:asciiTheme="minorHAnsi" w:hAnsiTheme="minorHAnsi" w:cstheme="minorHAnsi"/>
          <w:sz w:val="22"/>
          <w:szCs w:val="22"/>
        </w:rPr>
        <w:t xml:space="preserve">. Please </w:t>
      </w:r>
      <w:r w:rsidRPr="00506029">
        <w:rPr>
          <w:rFonts w:asciiTheme="minorHAnsi" w:hAnsiTheme="minorHAnsi" w:cstheme="minorHAnsi"/>
          <w:sz w:val="22"/>
          <w:szCs w:val="22"/>
          <w:u w:val="single"/>
        </w:rPr>
        <w:t>request a return receipt</w:t>
      </w:r>
      <w:r w:rsidRPr="00506029">
        <w:rPr>
          <w:rFonts w:asciiTheme="minorHAnsi" w:hAnsiTheme="minorHAnsi" w:cstheme="minorHAnsi"/>
          <w:sz w:val="22"/>
          <w:szCs w:val="22"/>
        </w:rPr>
        <w:t xml:space="preserve"> when submitting your application by email. </w:t>
      </w:r>
    </w:p>
    <w:p w14:paraId="53137D5F" w14:textId="6D51D62E" w:rsidR="00E44C2C" w:rsidRPr="00506029" w:rsidRDefault="00E44C2C" w:rsidP="002F14F4">
      <w:pPr>
        <w:pStyle w:val="BodyText"/>
        <w:spacing w:after="120" w:line="276" w:lineRule="auto"/>
        <w:ind w:right="162"/>
        <w:rPr>
          <w:rFonts w:asciiTheme="minorHAnsi" w:hAnsiTheme="minorHAnsi" w:cstheme="minorHAnsi"/>
          <w:sz w:val="22"/>
          <w:szCs w:val="22"/>
        </w:rPr>
      </w:pPr>
      <w:r w:rsidRPr="00506029">
        <w:rPr>
          <w:rFonts w:asciiTheme="minorHAnsi" w:hAnsiTheme="minorHAnsi" w:cstheme="minorHAnsi"/>
          <w:sz w:val="22"/>
          <w:szCs w:val="22"/>
        </w:rPr>
        <w:t xml:space="preserve">Proposals that do not meet these specifications above or are not received by the due date </w:t>
      </w:r>
      <w:r w:rsidRPr="00506029">
        <w:rPr>
          <w:rFonts w:asciiTheme="minorHAnsi" w:hAnsiTheme="minorHAnsi" w:cstheme="minorHAnsi"/>
          <w:sz w:val="22"/>
          <w:szCs w:val="22"/>
          <w:u w:val="thick"/>
        </w:rPr>
        <w:t>will not</w:t>
      </w:r>
      <w:r w:rsidRPr="00506029">
        <w:rPr>
          <w:rFonts w:asciiTheme="minorHAnsi" w:hAnsiTheme="minorHAnsi" w:cstheme="minorHAnsi"/>
          <w:sz w:val="22"/>
          <w:szCs w:val="22"/>
        </w:rPr>
        <w:t xml:space="preserve"> be considered.</w:t>
      </w:r>
    </w:p>
    <w:p w14:paraId="2DBD8CEA" w14:textId="01DF7F7A" w:rsidR="00E44C2C" w:rsidRDefault="00E44C2C" w:rsidP="000E69E6">
      <w:pPr>
        <w:spacing w:after="120" w:line="276" w:lineRule="auto"/>
        <w:ind w:right="688"/>
        <w:rPr>
          <w:rFonts w:cstheme="minorHAnsi"/>
        </w:rPr>
      </w:pPr>
      <w:r w:rsidRPr="00506029">
        <w:rPr>
          <w:rFonts w:cstheme="minorHAnsi"/>
          <w:b/>
        </w:rPr>
        <w:t xml:space="preserve">Questions: If you have questions about this grant opportunity, please submit them in writing to </w:t>
      </w:r>
      <w:hyperlink r:id="rId10" w:history="1">
        <w:r w:rsidR="00753176" w:rsidRPr="001F64F4">
          <w:rPr>
            <w:rStyle w:val="Hyperlink"/>
            <w:rFonts w:cstheme="minorHAnsi"/>
          </w:rPr>
          <w:t>NWHcollaborative@partners.org</w:t>
        </w:r>
      </w:hyperlink>
      <w:r w:rsidRPr="00506029">
        <w:rPr>
          <w:rFonts w:cstheme="minorHAnsi"/>
        </w:rPr>
        <w:t xml:space="preserve"> </w:t>
      </w:r>
      <w:r w:rsidR="00753176">
        <w:rPr>
          <w:rFonts w:cstheme="minorHAnsi"/>
        </w:rPr>
        <w:t xml:space="preserve">by </w:t>
      </w:r>
      <w:r w:rsidR="000E69E6">
        <w:rPr>
          <w:rFonts w:cstheme="minorHAnsi"/>
        </w:rPr>
        <w:t>January 2</w:t>
      </w:r>
      <w:r w:rsidR="00D24485">
        <w:rPr>
          <w:rFonts w:cstheme="minorHAnsi"/>
        </w:rPr>
        <w:t>7</w:t>
      </w:r>
      <w:r w:rsidR="000E69E6">
        <w:rPr>
          <w:rFonts w:cstheme="minorHAnsi"/>
        </w:rPr>
        <w:t>, 2025</w:t>
      </w:r>
      <w:r w:rsidRPr="00506029">
        <w:rPr>
          <w:rFonts w:cstheme="minorHAnsi"/>
        </w:rPr>
        <w:t xml:space="preserve">. Questions received and answers provided will be posted to the Newton-Wellesley Hospital website </w:t>
      </w:r>
      <w:hyperlink r:id="rId11" w:history="1">
        <w:r w:rsidRPr="00506029">
          <w:rPr>
            <w:rStyle w:val="Hyperlink"/>
            <w:rFonts w:cstheme="minorHAnsi"/>
          </w:rPr>
          <w:t>www.nwh.org/</w:t>
        </w:r>
        <w:r w:rsidR="00753176">
          <w:rPr>
            <w:rStyle w:val="Hyperlink"/>
            <w:rFonts w:cstheme="minorHAnsi"/>
          </w:rPr>
          <w:t>communityhealthinitiatives</w:t>
        </w:r>
      </w:hyperlink>
      <w:r w:rsidRPr="00506029">
        <w:rPr>
          <w:rFonts w:cstheme="minorHAnsi"/>
        </w:rPr>
        <w:t>.</w:t>
      </w:r>
    </w:p>
    <w:p w14:paraId="18C6D691" w14:textId="69B40974" w:rsidR="00992939" w:rsidRDefault="00992939" w:rsidP="00992939">
      <w:pPr>
        <w:pStyle w:val="Heading2"/>
      </w:pPr>
      <w:r>
        <w:t>Key Dates</w:t>
      </w:r>
    </w:p>
    <w:tbl>
      <w:tblPr>
        <w:tblStyle w:val="TableGrid"/>
        <w:tblW w:w="0" w:type="auto"/>
        <w:tblLook w:val="04A0" w:firstRow="1" w:lastRow="0" w:firstColumn="1" w:lastColumn="0" w:noHBand="0" w:noVBand="1"/>
      </w:tblPr>
      <w:tblGrid>
        <w:gridCol w:w="5035"/>
        <w:gridCol w:w="5035"/>
      </w:tblGrid>
      <w:tr w:rsidR="00992939" w14:paraId="34CB4779" w14:textId="77777777" w:rsidTr="00992939">
        <w:tc>
          <w:tcPr>
            <w:tcW w:w="5035" w:type="dxa"/>
          </w:tcPr>
          <w:p w14:paraId="01C3B67D" w14:textId="77777777" w:rsidR="00992939" w:rsidRDefault="00992939" w:rsidP="00992939">
            <w:r>
              <w:t xml:space="preserve">RFP Released </w:t>
            </w:r>
          </w:p>
          <w:p w14:paraId="4B02BEFD" w14:textId="5B7E4CC2" w:rsidR="008F234A" w:rsidRDefault="008F234A" w:rsidP="00992939"/>
        </w:tc>
        <w:tc>
          <w:tcPr>
            <w:tcW w:w="5035" w:type="dxa"/>
          </w:tcPr>
          <w:p w14:paraId="4365D5E3" w14:textId="6173E24D" w:rsidR="00992939" w:rsidRPr="00132DBF" w:rsidRDefault="00992939" w:rsidP="00992939">
            <w:pPr>
              <w:rPr>
                <w:highlight w:val="yellow"/>
              </w:rPr>
            </w:pPr>
            <w:r w:rsidRPr="008F234A">
              <w:t>Week of January 6</w:t>
            </w:r>
            <w:r w:rsidR="008F234A">
              <w:t>, 2025</w:t>
            </w:r>
          </w:p>
        </w:tc>
      </w:tr>
      <w:tr w:rsidR="00992939" w14:paraId="64628E60" w14:textId="77777777" w:rsidTr="008F234A">
        <w:tc>
          <w:tcPr>
            <w:tcW w:w="5035" w:type="dxa"/>
          </w:tcPr>
          <w:p w14:paraId="7581B6E9" w14:textId="35EC100B" w:rsidR="00992939" w:rsidRDefault="00992939" w:rsidP="00992939">
            <w:r>
              <w:t>RFP Information Session</w:t>
            </w:r>
            <w:r w:rsidR="008F234A">
              <w:t xml:space="preserve"> (virtual)</w:t>
            </w:r>
          </w:p>
        </w:tc>
        <w:tc>
          <w:tcPr>
            <w:tcW w:w="5035" w:type="dxa"/>
            <w:shd w:val="clear" w:color="auto" w:fill="auto"/>
          </w:tcPr>
          <w:p w14:paraId="1362ADD5" w14:textId="77777777" w:rsidR="00992939" w:rsidRPr="008F234A" w:rsidRDefault="008F234A" w:rsidP="00992939">
            <w:r w:rsidRPr="008F234A">
              <w:t>January 23, 2025</w:t>
            </w:r>
          </w:p>
          <w:p w14:paraId="62D3973D" w14:textId="77777777" w:rsidR="008F234A" w:rsidRDefault="008F234A" w:rsidP="00992939">
            <w:r w:rsidRPr="008F234A">
              <w:t>10:00 to 11:30</w:t>
            </w:r>
          </w:p>
          <w:p w14:paraId="0C52ED34" w14:textId="5E48951A" w:rsidR="00E65BC2" w:rsidRPr="00132DBF" w:rsidRDefault="00E65BC2" w:rsidP="00992939">
            <w:pPr>
              <w:rPr>
                <w:highlight w:val="yellow"/>
              </w:rPr>
            </w:pPr>
            <w:hyperlink r:id="rId12" w:history="1">
              <w:r w:rsidRPr="00A00FEE">
                <w:rPr>
                  <w:rStyle w:val="Hyperlink"/>
                </w:rPr>
                <w:t>https://partners.zoom.us/j/82334382944</w:t>
              </w:r>
            </w:hyperlink>
            <w:r>
              <w:t xml:space="preserve"> </w:t>
            </w:r>
          </w:p>
        </w:tc>
      </w:tr>
      <w:tr w:rsidR="00992939" w14:paraId="7110081A" w14:textId="77777777" w:rsidTr="00992939">
        <w:tc>
          <w:tcPr>
            <w:tcW w:w="5035" w:type="dxa"/>
          </w:tcPr>
          <w:p w14:paraId="4BA4DEBD" w14:textId="77777777" w:rsidR="00992939" w:rsidRDefault="00132DBF" w:rsidP="00992939">
            <w:r>
              <w:t>Proposals Due</w:t>
            </w:r>
          </w:p>
          <w:p w14:paraId="33FCD257" w14:textId="6E6398B6" w:rsidR="008F234A" w:rsidRDefault="008F234A" w:rsidP="00992939"/>
        </w:tc>
        <w:tc>
          <w:tcPr>
            <w:tcW w:w="5035" w:type="dxa"/>
          </w:tcPr>
          <w:p w14:paraId="051E28CE" w14:textId="0DD7ABA5" w:rsidR="00992939" w:rsidRDefault="00132DBF" w:rsidP="00992939">
            <w:r>
              <w:t xml:space="preserve">February 7, </w:t>
            </w:r>
            <w:proofErr w:type="gramStart"/>
            <w:r>
              <w:t>2025</w:t>
            </w:r>
            <w:proofErr w:type="gramEnd"/>
            <w:r>
              <w:t xml:space="preserve"> by 5:00 p.m.</w:t>
            </w:r>
          </w:p>
        </w:tc>
      </w:tr>
      <w:tr w:rsidR="00992939" w14:paraId="6E8EFDC2" w14:textId="77777777" w:rsidTr="00992939">
        <w:tc>
          <w:tcPr>
            <w:tcW w:w="5035" w:type="dxa"/>
          </w:tcPr>
          <w:p w14:paraId="56AFCABF" w14:textId="77777777" w:rsidR="00992939" w:rsidRDefault="00132DBF" w:rsidP="00992939">
            <w:r>
              <w:t>Funding Decision</w:t>
            </w:r>
          </w:p>
          <w:p w14:paraId="0F13C02A" w14:textId="22B3B049" w:rsidR="008F234A" w:rsidRDefault="008F234A" w:rsidP="00992939"/>
        </w:tc>
        <w:tc>
          <w:tcPr>
            <w:tcW w:w="5035" w:type="dxa"/>
          </w:tcPr>
          <w:p w14:paraId="03BFC256" w14:textId="577F94FE" w:rsidR="00992939" w:rsidRDefault="00132DBF" w:rsidP="00992939">
            <w:r>
              <w:t>Early March 2025</w:t>
            </w:r>
          </w:p>
        </w:tc>
      </w:tr>
      <w:tr w:rsidR="00992939" w14:paraId="6947EBD6" w14:textId="77777777" w:rsidTr="00992939">
        <w:tc>
          <w:tcPr>
            <w:tcW w:w="5035" w:type="dxa"/>
          </w:tcPr>
          <w:p w14:paraId="2E9A7960" w14:textId="77777777" w:rsidR="00992939" w:rsidRDefault="00132DBF" w:rsidP="00992939">
            <w:r>
              <w:t>Funding Begins</w:t>
            </w:r>
          </w:p>
          <w:p w14:paraId="7EA9F53B" w14:textId="64CAC79B" w:rsidR="008F234A" w:rsidRDefault="008F234A" w:rsidP="00992939"/>
        </w:tc>
        <w:tc>
          <w:tcPr>
            <w:tcW w:w="5035" w:type="dxa"/>
          </w:tcPr>
          <w:p w14:paraId="5931DF14" w14:textId="5984D3C9" w:rsidR="00992939" w:rsidRDefault="00132DBF" w:rsidP="00992939">
            <w:r>
              <w:t>April 1, 2025</w:t>
            </w:r>
          </w:p>
        </w:tc>
      </w:tr>
    </w:tbl>
    <w:p w14:paraId="135A1E90" w14:textId="77777777" w:rsidR="00992939" w:rsidRPr="00992939" w:rsidRDefault="00992939" w:rsidP="00992939"/>
    <w:sectPr w:rsidR="00992939" w:rsidRPr="00992939" w:rsidSect="00C77B4C">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41FAC" w14:textId="77777777" w:rsidR="00DC2D40" w:rsidRDefault="00DC2D40" w:rsidP="00DC2D40">
      <w:pPr>
        <w:spacing w:after="0" w:line="240" w:lineRule="auto"/>
      </w:pPr>
      <w:r>
        <w:separator/>
      </w:r>
    </w:p>
  </w:endnote>
  <w:endnote w:type="continuationSeparator" w:id="0">
    <w:p w14:paraId="02D8B227" w14:textId="77777777" w:rsidR="00DC2D40" w:rsidRDefault="00DC2D40" w:rsidP="00DC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9BEE4" w14:textId="77777777" w:rsidR="008F4F51" w:rsidRDefault="008F4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1DD4E" w14:textId="0F7EDAA7" w:rsidR="00C77B4C" w:rsidRPr="00C77B4C" w:rsidRDefault="00C77B4C">
    <w:pPr>
      <w:pStyle w:val="Footer"/>
      <w:rPr>
        <w:rFonts w:asciiTheme="majorHAnsi" w:hAnsiTheme="majorHAnsi"/>
        <w:b/>
        <w:bCs/>
        <w:sz w:val="20"/>
        <w:szCs w:val="20"/>
      </w:rPr>
    </w:pPr>
    <w:r w:rsidRPr="00C77B4C">
      <w:rPr>
        <w:rFonts w:asciiTheme="majorHAnsi" w:hAnsiTheme="majorHAnsi"/>
        <w:b/>
        <w:bCs/>
        <w:sz w:val="20"/>
        <w:szCs w:val="20"/>
      </w:rPr>
      <w:t>Community Connections RFP</w:t>
    </w:r>
  </w:p>
  <w:p w14:paraId="0C9CEEB3" w14:textId="3BCFB6E7" w:rsidR="00C77B4C" w:rsidRPr="00C77B4C" w:rsidRDefault="00C77B4C">
    <w:pPr>
      <w:pStyle w:val="Footer"/>
      <w:rPr>
        <w:rFonts w:asciiTheme="majorHAnsi" w:hAnsiTheme="majorHAnsi"/>
        <w:b/>
        <w:bCs/>
        <w:sz w:val="20"/>
        <w:szCs w:val="20"/>
      </w:rPr>
    </w:pPr>
    <w:r w:rsidRPr="00C77B4C">
      <w:rPr>
        <w:rFonts w:asciiTheme="majorHAnsi" w:hAnsiTheme="majorHAnsi"/>
        <w:b/>
        <w:bCs/>
        <w:sz w:val="20"/>
        <w:szCs w:val="20"/>
      </w:rPr>
      <w:t>January 2025</w:t>
    </w:r>
    <w:r w:rsidRPr="00C77B4C">
      <w:rPr>
        <w:rFonts w:asciiTheme="majorHAnsi" w:hAnsiTheme="majorHAnsi"/>
        <w:b/>
        <w:bCs/>
        <w:sz w:val="20"/>
        <w:szCs w:val="20"/>
      </w:rPr>
      <w:tab/>
    </w:r>
    <w:r w:rsidRPr="00C77B4C">
      <w:rPr>
        <w:rFonts w:asciiTheme="majorHAnsi" w:hAnsiTheme="majorHAnsi"/>
        <w:b/>
        <w:bCs/>
        <w:sz w:val="20"/>
        <w:szCs w:val="20"/>
      </w:rPr>
      <w:tab/>
    </w:r>
    <w:r w:rsidRPr="00C77B4C">
      <w:rPr>
        <w:rFonts w:asciiTheme="majorHAnsi" w:hAnsiTheme="majorHAnsi"/>
        <w:b/>
        <w:bCs/>
        <w:sz w:val="20"/>
        <w:szCs w:val="20"/>
      </w:rPr>
      <w:fldChar w:fldCharType="begin"/>
    </w:r>
    <w:r w:rsidRPr="00C77B4C">
      <w:rPr>
        <w:rFonts w:asciiTheme="majorHAnsi" w:hAnsiTheme="majorHAnsi"/>
        <w:b/>
        <w:bCs/>
        <w:sz w:val="20"/>
        <w:szCs w:val="20"/>
      </w:rPr>
      <w:instrText xml:space="preserve"> PAGE   \* MERGEFORMAT </w:instrText>
    </w:r>
    <w:r w:rsidRPr="00C77B4C">
      <w:rPr>
        <w:rFonts w:asciiTheme="majorHAnsi" w:hAnsiTheme="majorHAnsi"/>
        <w:b/>
        <w:bCs/>
        <w:sz w:val="20"/>
        <w:szCs w:val="20"/>
      </w:rPr>
      <w:fldChar w:fldCharType="separate"/>
    </w:r>
    <w:r w:rsidRPr="00C77B4C">
      <w:rPr>
        <w:rFonts w:asciiTheme="majorHAnsi" w:hAnsiTheme="majorHAnsi"/>
        <w:b/>
        <w:bCs/>
        <w:noProof/>
        <w:sz w:val="20"/>
        <w:szCs w:val="20"/>
      </w:rPr>
      <w:t>1</w:t>
    </w:r>
    <w:r w:rsidRPr="00C77B4C">
      <w:rPr>
        <w:rFonts w:asciiTheme="majorHAnsi" w:hAnsiTheme="majorHAnsi"/>
        <w:b/>
        <w:bCs/>
        <w:noProof/>
        <w:sz w:val="20"/>
        <w:szCs w:val="20"/>
      </w:rPr>
      <w:fldChar w:fldCharType="end"/>
    </w:r>
    <w:r w:rsidRPr="00C77B4C">
      <w:rPr>
        <w:rFonts w:asciiTheme="majorHAnsi" w:hAnsiTheme="majorHAnsi"/>
        <w:b/>
        <w:bCs/>
        <w:sz w:val="20"/>
        <w:szCs w:val="20"/>
      </w:rPr>
      <w:t xml:space="preserve"> | </w:t>
    </w:r>
    <w:r w:rsidRPr="00C77B4C">
      <w:rPr>
        <w:rFonts w:asciiTheme="majorHAnsi" w:hAnsiTheme="majorHAnsi"/>
        <w:b/>
        <w:bCs/>
        <w:color w:val="7F7F7F" w:themeColor="background1" w:themeShade="7F"/>
        <w:spacing w:val="60"/>
        <w:sz w:val="20"/>
        <w:szCs w:val="2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42950" w14:textId="77777777" w:rsidR="008F4F51" w:rsidRDefault="008F4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53376" w14:textId="77777777" w:rsidR="00DC2D40" w:rsidRDefault="00DC2D40" w:rsidP="00DC2D40">
      <w:pPr>
        <w:spacing w:after="0" w:line="240" w:lineRule="auto"/>
      </w:pPr>
      <w:r>
        <w:separator/>
      </w:r>
    </w:p>
  </w:footnote>
  <w:footnote w:type="continuationSeparator" w:id="0">
    <w:p w14:paraId="77382248" w14:textId="77777777" w:rsidR="00DC2D40" w:rsidRDefault="00DC2D40" w:rsidP="00DC2D40">
      <w:pPr>
        <w:spacing w:after="0" w:line="240" w:lineRule="auto"/>
      </w:pPr>
      <w:r>
        <w:continuationSeparator/>
      </w:r>
    </w:p>
  </w:footnote>
  <w:footnote w:id="1">
    <w:p w14:paraId="6CC85E66" w14:textId="77777777" w:rsidR="00DC2D40" w:rsidRDefault="00DC2D40" w:rsidP="00DC2D40">
      <w:pPr>
        <w:pStyle w:val="FootnoteText"/>
      </w:pPr>
      <w:r>
        <w:rPr>
          <w:rStyle w:val="FootnoteReference"/>
        </w:rPr>
        <w:footnoteRef/>
      </w:r>
      <w:r>
        <w:t xml:space="preserve"> </w:t>
      </w:r>
      <w:hyperlink r:id="rId1" w:history="1">
        <w:r w:rsidRPr="00904B05">
          <w:rPr>
            <w:rStyle w:val="Hyperlink"/>
          </w:rPr>
          <w:t>https://bmcpublichealth.biomedcentral.com/articles/10.1186/s12889-021-11981-5</w:t>
        </w:r>
      </w:hyperlink>
    </w:p>
  </w:footnote>
  <w:footnote w:id="2">
    <w:p w14:paraId="70D4ABC6" w14:textId="77777777" w:rsidR="008961F6" w:rsidRDefault="008961F6" w:rsidP="008961F6">
      <w:pPr>
        <w:pStyle w:val="FootnoteText"/>
      </w:pPr>
      <w:r>
        <w:rPr>
          <w:rStyle w:val="FootnoteReference"/>
        </w:rPr>
        <w:footnoteRef/>
      </w:r>
      <w:r>
        <w:t xml:space="preserve"> </w:t>
      </w:r>
      <w:hyperlink r:id="rId2" w:history="1">
        <w:r w:rsidRPr="001102D2">
          <w:rPr>
            <w:rStyle w:val="Hyperlink"/>
          </w:rPr>
          <w:t>https://health.gov/healthypeople/priority-areas/social-determinants-health/literature-summaries/access-health-services</w:t>
        </w:r>
      </w:hyperlink>
    </w:p>
  </w:footnote>
  <w:footnote w:id="3">
    <w:p w14:paraId="5DDA739A" w14:textId="77777777" w:rsidR="00DC2D40" w:rsidRDefault="00DC2D40" w:rsidP="00DC2D40">
      <w:pPr>
        <w:pStyle w:val="FootnoteText"/>
      </w:pPr>
      <w:r>
        <w:rPr>
          <w:rStyle w:val="FootnoteReference"/>
        </w:rPr>
        <w:footnoteRef/>
      </w:r>
      <w:r>
        <w:t xml:space="preserve"> </w:t>
      </w:r>
      <w:hyperlink r:id="rId3" w:history="1">
        <w:r w:rsidRPr="001102D2">
          <w:rPr>
            <w:rStyle w:val="Hyperlink"/>
          </w:rPr>
          <w:t>https://www.urban.org/sites/default/files/2023-01/Customer%20Service%20Experiences%20and%20Enrollment%20Difficulties%20Vary%20Widely%20across%20Safety%20Net%20Programs.pdf?mc_cid=faf434a5e0</w:t>
        </w:r>
      </w:hyperlink>
    </w:p>
  </w:footnote>
  <w:footnote w:id="4">
    <w:p w14:paraId="2091C13A" w14:textId="77777777" w:rsidR="00DC2D40" w:rsidRDefault="00DC2D40" w:rsidP="00DC2D40">
      <w:pPr>
        <w:pStyle w:val="FootnoteText"/>
      </w:pPr>
      <w:r>
        <w:rPr>
          <w:rStyle w:val="FootnoteReference"/>
        </w:rPr>
        <w:footnoteRef/>
      </w:r>
      <w:r>
        <w:t xml:space="preserve"> </w:t>
      </w:r>
      <w:hyperlink r:id="rId4" w:history="1">
        <w:r w:rsidRPr="001102D2">
          <w:rPr>
            <w:rStyle w:val="Hyperlink"/>
          </w:rPr>
          <w:t>https://www.ncbi.nlm.nih.gov/pmc/articles/PMC10977599/</w:t>
        </w:r>
      </w:hyperlink>
    </w:p>
  </w:footnote>
  <w:footnote w:id="5">
    <w:p w14:paraId="12AE7F3A" w14:textId="77777777" w:rsidR="00DC2D40" w:rsidRDefault="00DC2D40" w:rsidP="00DC2D40">
      <w:pPr>
        <w:pStyle w:val="FootnoteText"/>
      </w:pPr>
      <w:r>
        <w:rPr>
          <w:rStyle w:val="FootnoteReference"/>
        </w:rPr>
        <w:footnoteRef/>
      </w:r>
      <w:r>
        <w:t xml:space="preserve"> </w:t>
      </w:r>
      <w:hyperlink r:id="rId5" w:history="1">
        <w:r w:rsidRPr="001102D2">
          <w:rPr>
            <w:rStyle w:val="Hyperlink"/>
          </w:rPr>
          <w:t>https://www.pewtrusts.org/en/research-and-analysis/articles/2023/06/23/social-service-programs-must-be-accessible-to-people-who-speak-limited-english</w:t>
        </w:r>
      </w:hyperlink>
    </w:p>
  </w:footnote>
  <w:footnote w:id="6">
    <w:p w14:paraId="4B538D8A" w14:textId="77777777" w:rsidR="00DC2D40" w:rsidRDefault="00DC2D40" w:rsidP="00DC2D40">
      <w:pPr>
        <w:pStyle w:val="FootnoteText"/>
      </w:pPr>
      <w:r>
        <w:rPr>
          <w:rStyle w:val="FootnoteReference"/>
        </w:rPr>
        <w:footnoteRef/>
      </w:r>
      <w:r>
        <w:t xml:space="preserve"> </w:t>
      </w:r>
      <w:hyperlink r:id="rId6" w:history="1">
        <w:r w:rsidRPr="009C1644">
          <w:rPr>
            <w:rStyle w:val="Hyperlink"/>
          </w:rPr>
          <w:t>https://www.ncbi.nlm.nih.gov/pmc/articles/PMC7274400/</w:t>
        </w:r>
      </w:hyperlink>
    </w:p>
  </w:footnote>
  <w:footnote w:id="7">
    <w:p w14:paraId="5F69CD2F" w14:textId="77777777" w:rsidR="00DC2D40" w:rsidRDefault="00DC2D40" w:rsidP="00DC2D40">
      <w:pPr>
        <w:pStyle w:val="FootnoteText"/>
      </w:pPr>
      <w:r>
        <w:rPr>
          <w:rStyle w:val="FootnoteReference"/>
        </w:rPr>
        <w:footnoteRef/>
      </w:r>
      <w:r>
        <w:t xml:space="preserve"> </w:t>
      </w:r>
      <w:hyperlink r:id="rId7" w:history="1">
        <w:r w:rsidRPr="001102D2">
          <w:rPr>
            <w:rStyle w:val="Hyperlink"/>
          </w:rPr>
          <w:t>https://ctu.ieee.org/barriers-to-digital-inclusion/</w:t>
        </w:r>
      </w:hyperlink>
    </w:p>
  </w:footnote>
  <w:footnote w:id="8">
    <w:p w14:paraId="78F16D0C" w14:textId="77777777" w:rsidR="00DC2D40" w:rsidRDefault="00DC2D40" w:rsidP="00DC2D40">
      <w:pPr>
        <w:pStyle w:val="FootnoteText"/>
      </w:pPr>
      <w:r>
        <w:rPr>
          <w:rStyle w:val="FootnoteReference"/>
        </w:rPr>
        <w:footnoteRef/>
      </w:r>
      <w:r>
        <w:t xml:space="preserve"> </w:t>
      </w:r>
      <w:hyperlink r:id="rId8" w:history="1">
        <w:r w:rsidRPr="001102D2">
          <w:rPr>
            <w:rStyle w:val="Hyperlink"/>
          </w:rPr>
          <w:t>https://pubmed.ncbi.nlm.nih.gov/37866838/</w:t>
        </w:r>
      </w:hyperlink>
    </w:p>
  </w:footnote>
  <w:footnote w:id="9">
    <w:p w14:paraId="60F1518E" w14:textId="77777777" w:rsidR="00DC2D40" w:rsidRDefault="00DC2D40" w:rsidP="00DC2D40">
      <w:pPr>
        <w:pStyle w:val="FootnoteText"/>
      </w:pPr>
      <w:r>
        <w:rPr>
          <w:rStyle w:val="FootnoteReference"/>
        </w:rPr>
        <w:footnoteRef/>
      </w:r>
      <w:r>
        <w:t xml:space="preserve"> </w:t>
      </w:r>
      <w:hyperlink r:id="rId9" w:history="1">
        <w:r w:rsidRPr="001102D2">
          <w:rPr>
            <w:rStyle w:val="Hyperlink"/>
          </w:rPr>
          <w:t>https://www.nature.com/articles/s41746-021-00413-8</w:t>
        </w:r>
      </w:hyperlink>
    </w:p>
  </w:footnote>
  <w:footnote w:id="10">
    <w:p w14:paraId="24D29984" w14:textId="77777777" w:rsidR="00DC2D40" w:rsidRDefault="00DC2D40" w:rsidP="00DC2D40">
      <w:pPr>
        <w:pStyle w:val="FootnoteText"/>
      </w:pPr>
      <w:r>
        <w:rPr>
          <w:rStyle w:val="FootnoteReference"/>
        </w:rPr>
        <w:footnoteRef/>
      </w:r>
      <w:r>
        <w:t xml:space="preserve"> </w:t>
      </w:r>
      <w:hyperlink r:id="rId10" w:history="1">
        <w:r w:rsidRPr="001102D2">
          <w:rPr>
            <w:rStyle w:val="Hyperlink"/>
          </w:rPr>
          <w:t>https://www.weforum.org/agenda/2021/06/digital-divide-persists-even-as-americans-with-lower-incomes-make-gains-in-tech-adoption/</w:t>
        </w:r>
      </w:hyperlink>
    </w:p>
  </w:footnote>
  <w:footnote w:id="11">
    <w:p w14:paraId="3E582A21" w14:textId="3287F781" w:rsidR="00DC2D40" w:rsidRDefault="00DC2D40" w:rsidP="00DC2D40">
      <w:pPr>
        <w:pStyle w:val="FootnoteText"/>
      </w:pPr>
      <w:r>
        <w:rPr>
          <w:rStyle w:val="FootnoteReference"/>
        </w:rPr>
        <w:footnoteRef/>
      </w:r>
      <w:r>
        <w:t xml:space="preserve"> </w:t>
      </w:r>
      <w:hyperlink r:id="rId11" w:history="1">
        <w:r w:rsidR="0011591B" w:rsidRPr="00741392">
          <w:rPr>
            <w:rStyle w:val="Hyperlink"/>
          </w:rPr>
          <w:t>https://www.americanimmigrationcouncil.org/sites/default/files/examining_gaps_in_digital_inclusion_in_massachusetts.pdf</w:t>
        </w:r>
      </w:hyperlink>
    </w:p>
  </w:footnote>
  <w:footnote w:id="12">
    <w:p w14:paraId="57551146" w14:textId="77777777" w:rsidR="00DC2D40" w:rsidRDefault="00DC2D40" w:rsidP="00DC2D40">
      <w:pPr>
        <w:pStyle w:val="FootnoteText"/>
      </w:pPr>
      <w:r>
        <w:rPr>
          <w:rStyle w:val="FootnoteReference"/>
        </w:rPr>
        <w:footnoteRef/>
      </w:r>
      <w:r>
        <w:t xml:space="preserve"> </w:t>
      </w:r>
      <w:hyperlink r:id="rId12" w:history="1">
        <w:r w:rsidRPr="00E90D59">
          <w:rPr>
            <w:rStyle w:val="Hyperlink"/>
          </w:rPr>
          <w:t>https://www.rwjf.org/en/insights/our-research/2023/04/more-than-one-in-five-adults-with-limited-public-transit-access-forgo-healthcare-because-of-transportation-barriers.html</w:t>
        </w:r>
      </w:hyperlink>
    </w:p>
  </w:footnote>
  <w:footnote w:id="13">
    <w:p w14:paraId="758489BC" w14:textId="77777777" w:rsidR="00DC2D40" w:rsidRDefault="00DC2D40" w:rsidP="00DC2D40">
      <w:pPr>
        <w:pStyle w:val="FootnoteText"/>
      </w:pPr>
      <w:r>
        <w:rPr>
          <w:rStyle w:val="FootnoteReference"/>
        </w:rPr>
        <w:footnoteRef/>
      </w:r>
      <w:r>
        <w:t xml:space="preserve"> </w:t>
      </w:r>
      <w:hyperlink r:id="rId13" w:history="1">
        <w:r w:rsidRPr="001102D2">
          <w:rPr>
            <w:rStyle w:val="Hyperlink"/>
          </w:rPr>
          <w:t>https://essentialhospitals.org/wp-content/uploads/2019/03/Confronting-Transporation-Barriers-1.pdf</w:t>
        </w:r>
      </w:hyperlink>
    </w:p>
  </w:footnote>
  <w:footnote w:id="14">
    <w:p w14:paraId="78A4F34B" w14:textId="77777777" w:rsidR="00DC2D40" w:rsidRDefault="00DC2D40" w:rsidP="00DC2D40">
      <w:pPr>
        <w:pStyle w:val="FootnoteText"/>
      </w:pPr>
      <w:r>
        <w:rPr>
          <w:rStyle w:val="FootnoteReference"/>
        </w:rPr>
        <w:footnoteRef/>
      </w:r>
      <w:r>
        <w:t xml:space="preserve"> </w:t>
      </w:r>
      <w:hyperlink r:id="rId14" w:history="1">
        <w:r w:rsidRPr="001102D2">
          <w:rPr>
            <w:rStyle w:val="Hyperlink"/>
          </w:rPr>
          <w:t>https://www.cms.gov/priorities/innovation/media/document/vbid-cy2023-transportation-use-case</w:t>
        </w:r>
      </w:hyperlink>
    </w:p>
  </w:footnote>
  <w:footnote w:id="15">
    <w:p w14:paraId="6B168A24" w14:textId="77777777" w:rsidR="00DC2D40" w:rsidRDefault="00DC2D40" w:rsidP="00DC2D40">
      <w:pPr>
        <w:pStyle w:val="FootnoteText"/>
      </w:pPr>
      <w:r>
        <w:rPr>
          <w:rStyle w:val="FootnoteReference"/>
        </w:rPr>
        <w:footnoteRef/>
      </w:r>
      <w:r>
        <w:t xml:space="preserve"> </w:t>
      </w:r>
      <w:hyperlink r:id="rId15" w:history="1">
        <w:r w:rsidRPr="001102D2">
          <w:rPr>
            <w:rStyle w:val="Hyperlink"/>
          </w:rPr>
          <w:t>https://info.primarycare.hms.harvard.edu/perspectives/articles/mobile-clinics-in-the-us-health-system</w:t>
        </w:r>
      </w:hyperlink>
    </w:p>
  </w:footnote>
  <w:footnote w:id="16">
    <w:p w14:paraId="5ABE77B2" w14:textId="77777777" w:rsidR="00DC2D40" w:rsidRDefault="00DC2D40" w:rsidP="00DC2D40">
      <w:pPr>
        <w:pStyle w:val="FootnoteText"/>
      </w:pPr>
      <w:r>
        <w:rPr>
          <w:rStyle w:val="FootnoteReference"/>
        </w:rPr>
        <w:footnoteRef/>
      </w:r>
      <w:r>
        <w:t xml:space="preserve"> </w:t>
      </w:r>
      <w:hyperlink r:id="rId16" w:history="1">
        <w:r w:rsidRPr="001102D2">
          <w:rPr>
            <w:rStyle w:val="Hyperlink"/>
          </w:rPr>
          <w:t>https://equityhealthj.biomedcentral.com/articles/10.1186/s12939-017-0671-2</w:t>
        </w:r>
      </w:hyperlink>
    </w:p>
  </w:footnote>
  <w:footnote w:id="17">
    <w:p w14:paraId="5802C1CD" w14:textId="77777777" w:rsidR="00DC2D40" w:rsidRDefault="00DC2D40" w:rsidP="00DC2D40">
      <w:pPr>
        <w:pStyle w:val="FootnoteText"/>
      </w:pPr>
      <w:r>
        <w:rPr>
          <w:rStyle w:val="FootnoteReference"/>
        </w:rPr>
        <w:footnoteRef/>
      </w:r>
      <w:r>
        <w:t xml:space="preserve"> </w:t>
      </w:r>
      <w:hyperlink r:id="rId17" w:history="1">
        <w:r w:rsidRPr="001102D2">
          <w:rPr>
            <w:rStyle w:val="Hyperlink"/>
          </w:rPr>
          <w:t>https://www.ncbi.nlm.nih.gov/pmc/articles/PMC8804235/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DAB81" w14:textId="77777777" w:rsidR="008F4F51" w:rsidRDefault="008F4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A9FED" w14:textId="4197EDB8" w:rsidR="00C77B4C" w:rsidRDefault="00C77B4C">
    <w:pPr>
      <w:pStyle w:val="Header"/>
    </w:pPr>
    <w:r w:rsidRPr="00C77B4C">
      <w:rPr>
        <w:noProof/>
      </w:rPr>
      <w:drawing>
        <wp:anchor distT="0" distB="0" distL="114300" distR="114300" simplePos="0" relativeHeight="251657216" behindDoc="0" locked="0" layoutInCell="1" allowOverlap="1" wp14:anchorId="6859CCD1" wp14:editId="7229FA72">
          <wp:simplePos x="0" y="0"/>
          <wp:positionH relativeFrom="column">
            <wp:posOffset>-19050</wp:posOffset>
          </wp:positionH>
          <wp:positionV relativeFrom="page">
            <wp:posOffset>177800</wp:posOffset>
          </wp:positionV>
          <wp:extent cx="2578100" cy="577850"/>
          <wp:effectExtent l="0" t="0" r="0" b="0"/>
          <wp:wrapSquare wrapText="bothSides"/>
          <wp:docPr id="181192146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921465"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8100" cy="5778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EA7F8" w14:textId="77777777" w:rsidR="008F4F51" w:rsidRDefault="008F4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66FC5"/>
    <w:multiLevelType w:val="hybridMultilevel"/>
    <w:tmpl w:val="472CD6E2"/>
    <w:lvl w:ilvl="0" w:tplc="9684BF90">
      <w:numFmt w:val="bullet"/>
      <w:lvlText w:val=""/>
      <w:lvlJc w:val="left"/>
      <w:pPr>
        <w:ind w:left="450" w:hanging="360"/>
      </w:pPr>
      <w:rPr>
        <w:rFonts w:ascii="Symbol" w:eastAsia="Symbol" w:hAnsi="Symbol" w:cs="Symbol" w:hint="default"/>
        <w:w w:val="100"/>
        <w:sz w:val="24"/>
        <w:szCs w:val="24"/>
        <w:lang w:val="en-US" w:eastAsia="en-US" w:bidi="en-US"/>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80D6136"/>
    <w:multiLevelType w:val="hybridMultilevel"/>
    <w:tmpl w:val="93F006B6"/>
    <w:lvl w:ilvl="0" w:tplc="04090019">
      <w:start w:val="1"/>
      <w:numFmt w:val="lowerLetter"/>
      <w:lvlText w:val="%1."/>
      <w:lvlJc w:val="left"/>
      <w:pPr>
        <w:ind w:left="450" w:hanging="360"/>
      </w:pPr>
      <w:rPr>
        <w:rFonts w:hint="default"/>
        <w:w w:val="100"/>
        <w:sz w:val="24"/>
        <w:szCs w:val="24"/>
        <w:lang w:val="en-US" w:eastAsia="en-US" w:bidi="en-US"/>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1E915791"/>
    <w:multiLevelType w:val="hybridMultilevel"/>
    <w:tmpl w:val="20AA7C5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68D1832"/>
    <w:multiLevelType w:val="hybridMultilevel"/>
    <w:tmpl w:val="D44846A2"/>
    <w:lvl w:ilvl="0" w:tplc="0409000F">
      <w:start w:val="1"/>
      <w:numFmt w:val="decimal"/>
      <w:lvlText w:val="%1."/>
      <w:lvlJc w:val="left"/>
      <w:pPr>
        <w:ind w:left="450" w:hanging="360"/>
      </w:pPr>
      <w:rPr>
        <w:rFonts w:hint="default"/>
        <w:w w:val="100"/>
        <w:sz w:val="24"/>
        <w:szCs w:val="24"/>
        <w:lang w:val="en-US" w:eastAsia="en-US" w:bidi="en-US"/>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4" w15:restartNumberingAfterBreak="0">
    <w:nsid w:val="2D7C3A4A"/>
    <w:multiLevelType w:val="hybridMultilevel"/>
    <w:tmpl w:val="D7F423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034C42"/>
    <w:multiLevelType w:val="hybridMultilevel"/>
    <w:tmpl w:val="2AF665DA"/>
    <w:lvl w:ilvl="0" w:tplc="FFFFFFFF">
      <w:numFmt w:val="bullet"/>
      <w:lvlText w:val=""/>
      <w:lvlJc w:val="left"/>
      <w:pPr>
        <w:ind w:left="412" w:hanging="293"/>
      </w:pPr>
      <w:rPr>
        <w:rFonts w:ascii="Symbol" w:eastAsia="Symbol" w:hAnsi="Symbol" w:cs="Symbol" w:hint="default"/>
        <w:b/>
        <w:bCs/>
        <w:spacing w:val="-1"/>
        <w:w w:val="100"/>
        <w:sz w:val="24"/>
        <w:szCs w:val="24"/>
        <w:lang w:val="en-US" w:eastAsia="en-US" w:bidi="en-US"/>
      </w:rPr>
    </w:lvl>
    <w:lvl w:ilvl="1" w:tplc="04090001">
      <w:start w:val="1"/>
      <w:numFmt w:val="bullet"/>
      <w:lvlText w:val=""/>
      <w:lvlJc w:val="left"/>
      <w:pPr>
        <w:ind w:left="840" w:hanging="360"/>
      </w:pPr>
      <w:rPr>
        <w:rFonts w:ascii="Symbol" w:hAnsi="Symbol" w:hint="default"/>
      </w:rPr>
    </w:lvl>
    <w:lvl w:ilvl="2" w:tplc="FFFFFFFF">
      <w:numFmt w:val="bullet"/>
      <w:lvlText w:val="o"/>
      <w:lvlJc w:val="left"/>
      <w:pPr>
        <w:ind w:left="1560" w:hanging="360"/>
      </w:pPr>
      <w:rPr>
        <w:rFonts w:ascii="Courier New" w:eastAsia="Courier New" w:hAnsi="Courier New" w:cs="Courier New" w:hint="default"/>
        <w:w w:val="99"/>
        <w:sz w:val="24"/>
        <w:szCs w:val="24"/>
        <w:lang w:val="en-US" w:eastAsia="en-US" w:bidi="en-US"/>
      </w:rPr>
    </w:lvl>
    <w:lvl w:ilvl="3" w:tplc="FFFFFFFF">
      <w:numFmt w:val="bullet"/>
      <w:lvlText w:val="•"/>
      <w:lvlJc w:val="left"/>
      <w:pPr>
        <w:ind w:left="2742" w:hanging="360"/>
      </w:pPr>
      <w:rPr>
        <w:rFonts w:hint="default"/>
        <w:lang w:val="en-US" w:eastAsia="en-US" w:bidi="en-US"/>
      </w:rPr>
    </w:lvl>
    <w:lvl w:ilvl="4" w:tplc="FFFFFFFF">
      <w:numFmt w:val="bullet"/>
      <w:lvlText w:val="•"/>
      <w:lvlJc w:val="left"/>
      <w:pPr>
        <w:ind w:left="3925" w:hanging="360"/>
      </w:pPr>
      <w:rPr>
        <w:rFonts w:hint="default"/>
        <w:lang w:val="en-US" w:eastAsia="en-US" w:bidi="en-US"/>
      </w:rPr>
    </w:lvl>
    <w:lvl w:ilvl="5" w:tplc="FFFFFFFF">
      <w:numFmt w:val="bullet"/>
      <w:lvlText w:val="•"/>
      <w:lvlJc w:val="left"/>
      <w:pPr>
        <w:ind w:left="5107" w:hanging="360"/>
      </w:pPr>
      <w:rPr>
        <w:rFonts w:hint="default"/>
        <w:lang w:val="en-US" w:eastAsia="en-US" w:bidi="en-US"/>
      </w:rPr>
    </w:lvl>
    <w:lvl w:ilvl="6" w:tplc="FFFFFFFF">
      <w:numFmt w:val="bullet"/>
      <w:lvlText w:val="•"/>
      <w:lvlJc w:val="left"/>
      <w:pPr>
        <w:ind w:left="6290" w:hanging="360"/>
      </w:pPr>
      <w:rPr>
        <w:rFonts w:hint="default"/>
        <w:lang w:val="en-US" w:eastAsia="en-US" w:bidi="en-US"/>
      </w:rPr>
    </w:lvl>
    <w:lvl w:ilvl="7" w:tplc="FFFFFFFF">
      <w:numFmt w:val="bullet"/>
      <w:lvlText w:val="•"/>
      <w:lvlJc w:val="left"/>
      <w:pPr>
        <w:ind w:left="7472" w:hanging="360"/>
      </w:pPr>
      <w:rPr>
        <w:rFonts w:hint="default"/>
        <w:lang w:val="en-US" w:eastAsia="en-US" w:bidi="en-US"/>
      </w:rPr>
    </w:lvl>
    <w:lvl w:ilvl="8" w:tplc="FFFFFFFF">
      <w:numFmt w:val="bullet"/>
      <w:lvlText w:val="•"/>
      <w:lvlJc w:val="left"/>
      <w:pPr>
        <w:ind w:left="8655" w:hanging="360"/>
      </w:pPr>
      <w:rPr>
        <w:rFonts w:hint="default"/>
        <w:lang w:val="en-US" w:eastAsia="en-US" w:bidi="en-US"/>
      </w:rPr>
    </w:lvl>
  </w:abstractNum>
  <w:abstractNum w:abstractNumId="6" w15:restartNumberingAfterBreak="0">
    <w:nsid w:val="3AE51948"/>
    <w:multiLevelType w:val="hybridMultilevel"/>
    <w:tmpl w:val="1652ACAE"/>
    <w:lvl w:ilvl="0" w:tplc="9684BF90">
      <w:numFmt w:val="bullet"/>
      <w:lvlText w:val=""/>
      <w:lvlJc w:val="left"/>
      <w:pPr>
        <w:ind w:left="360" w:hanging="360"/>
      </w:pPr>
      <w:rPr>
        <w:rFonts w:ascii="Symbol" w:eastAsia="Symbol" w:hAnsi="Symbol" w:cs="Symbol" w:hint="default"/>
        <w:w w:val="100"/>
        <w:sz w:val="24"/>
        <w:szCs w:val="24"/>
        <w:lang w:val="en-US" w:eastAsia="en-US" w:bidi="en-U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F84720"/>
    <w:multiLevelType w:val="hybridMultilevel"/>
    <w:tmpl w:val="B10C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B5D8B"/>
    <w:multiLevelType w:val="hybridMultilevel"/>
    <w:tmpl w:val="40C4EB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5C1C6725"/>
    <w:multiLevelType w:val="multilevel"/>
    <w:tmpl w:val="FEA0F2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5CD92F78"/>
    <w:multiLevelType w:val="hybridMultilevel"/>
    <w:tmpl w:val="807A43C4"/>
    <w:lvl w:ilvl="0" w:tplc="44387A9C">
      <w:start w:val="1"/>
      <w:numFmt w:val="bullet"/>
      <w:lvlText w:val="•"/>
      <w:lvlJc w:val="left"/>
      <w:pPr>
        <w:tabs>
          <w:tab w:val="num" w:pos="4320"/>
        </w:tabs>
        <w:ind w:left="4320" w:hanging="360"/>
      </w:pPr>
      <w:rPr>
        <w:rFonts w:ascii="Arial" w:hAnsi="Arial" w:hint="default"/>
      </w:rPr>
    </w:lvl>
    <w:lvl w:ilvl="1" w:tplc="3508CE20" w:tentative="1">
      <w:start w:val="1"/>
      <w:numFmt w:val="bullet"/>
      <w:lvlText w:val="•"/>
      <w:lvlJc w:val="left"/>
      <w:pPr>
        <w:tabs>
          <w:tab w:val="num" w:pos="5040"/>
        </w:tabs>
        <w:ind w:left="5040" w:hanging="360"/>
      </w:pPr>
      <w:rPr>
        <w:rFonts w:ascii="Arial" w:hAnsi="Arial" w:hint="default"/>
      </w:rPr>
    </w:lvl>
    <w:lvl w:ilvl="2" w:tplc="2CE24D42" w:tentative="1">
      <w:start w:val="1"/>
      <w:numFmt w:val="bullet"/>
      <w:lvlText w:val="•"/>
      <w:lvlJc w:val="left"/>
      <w:pPr>
        <w:tabs>
          <w:tab w:val="num" w:pos="5760"/>
        </w:tabs>
        <w:ind w:left="5760" w:hanging="360"/>
      </w:pPr>
      <w:rPr>
        <w:rFonts w:ascii="Arial" w:hAnsi="Arial" w:hint="default"/>
      </w:rPr>
    </w:lvl>
    <w:lvl w:ilvl="3" w:tplc="31085582" w:tentative="1">
      <w:start w:val="1"/>
      <w:numFmt w:val="bullet"/>
      <w:lvlText w:val="•"/>
      <w:lvlJc w:val="left"/>
      <w:pPr>
        <w:tabs>
          <w:tab w:val="num" w:pos="6480"/>
        </w:tabs>
        <w:ind w:left="6480" w:hanging="360"/>
      </w:pPr>
      <w:rPr>
        <w:rFonts w:ascii="Arial" w:hAnsi="Arial" w:hint="default"/>
      </w:rPr>
    </w:lvl>
    <w:lvl w:ilvl="4" w:tplc="C71E5366" w:tentative="1">
      <w:start w:val="1"/>
      <w:numFmt w:val="bullet"/>
      <w:lvlText w:val="•"/>
      <w:lvlJc w:val="left"/>
      <w:pPr>
        <w:tabs>
          <w:tab w:val="num" w:pos="7200"/>
        </w:tabs>
        <w:ind w:left="7200" w:hanging="360"/>
      </w:pPr>
      <w:rPr>
        <w:rFonts w:ascii="Arial" w:hAnsi="Arial" w:hint="default"/>
      </w:rPr>
    </w:lvl>
    <w:lvl w:ilvl="5" w:tplc="012C39B0" w:tentative="1">
      <w:start w:val="1"/>
      <w:numFmt w:val="bullet"/>
      <w:lvlText w:val="•"/>
      <w:lvlJc w:val="left"/>
      <w:pPr>
        <w:tabs>
          <w:tab w:val="num" w:pos="7920"/>
        </w:tabs>
        <w:ind w:left="7920" w:hanging="360"/>
      </w:pPr>
      <w:rPr>
        <w:rFonts w:ascii="Arial" w:hAnsi="Arial" w:hint="default"/>
      </w:rPr>
    </w:lvl>
    <w:lvl w:ilvl="6" w:tplc="A63E1F3E" w:tentative="1">
      <w:start w:val="1"/>
      <w:numFmt w:val="bullet"/>
      <w:lvlText w:val="•"/>
      <w:lvlJc w:val="left"/>
      <w:pPr>
        <w:tabs>
          <w:tab w:val="num" w:pos="8640"/>
        </w:tabs>
        <w:ind w:left="8640" w:hanging="360"/>
      </w:pPr>
      <w:rPr>
        <w:rFonts w:ascii="Arial" w:hAnsi="Arial" w:hint="default"/>
      </w:rPr>
    </w:lvl>
    <w:lvl w:ilvl="7" w:tplc="1616B1EA" w:tentative="1">
      <w:start w:val="1"/>
      <w:numFmt w:val="bullet"/>
      <w:lvlText w:val="•"/>
      <w:lvlJc w:val="left"/>
      <w:pPr>
        <w:tabs>
          <w:tab w:val="num" w:pos="9360"/>
        </w:tabs>
        <w:ind w:left="9360" w:hanging="360"/>
      </w:pPr>
      <w:rPr>
        <w:rFonts w:ascii="Arial" w:hAnsi="Arial" w:hint="default"/>
      </w:rPr>
    </w:lvl>
    <w:lvl w:ilvl="8" w:tplc="062632B4" w:tentative="1">
      <w:start w:val="1"/>
      <w:numFmt w:val="bullet"/>
      <w:lvlText w:val="•"/>
      <w:lvlJc w:val="left"/>
      <w:pPr>
        <w:tabs>
          <w:tab w:val="num" w:pos="10080"/>
        </w:tabs>
        <w:ind w:left="10080" w:hanging="360"/>
      </w:pPr>
      <w:rPr>
        <w:rFonts w:ascii="Arial" w:hAnsi="Arial" w:hint="default"/>
      </w:rPr>
    </w:lvl>
  </w:abstractNum>
  <w:abstractNum w:abstractNumId="11" w15:restartNumberingAfterBreak="0">
    <w:nsid w:val="5EF235E1"/>
    <w:multiLevelType w:val="hybridMultilevel"/>
    <w:tmpl w:val="6E62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D46711"/>
    <w:multiLevelType w:val="hybridMultilevel"/>
    <w:tmpl w:val="AB1A9902"/>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C3C11F4"/>
    <w:multiLevelType w:val="hybridMultilevel"/>
    <w:tmpl w:val="024EA41E"/>
    <w:lvl w:ilvl="0" w:tplc="A2CCDD96">
      <w:start w:val="1"/>
      <w:numFmt w:val="bullet"/>
      <w:lvlText w:val="•"/>
      <w:lvlJc w:val="left"/>
      <w:pPr>
        <w:tabs>
          <w:tab w:val="num" w:pos="720"/>
        </w:tabs>
        <w:ind w:left="720" w:hanging="360"/>
      </w:pPr>
      <w:rPr>
        <w:rFonts w:ascii="Arial" w:hAnsi="Arial" w:hint="default"/>
      </w:rPr>
    </w:lvl>
    <w:lvl w:ilvl="1" w:tplc="44E80318" w:tentative="1">
      <w:start w:val="1"/>
      <w:numFmt w:val="bullet"/>
      <w:lvlText w:val="•"/>
      <w:lvlJc w:val="left"/>
      <w:pPr>
        <w:tabs>
          <w:tab w:val="num" w:pos="1440"/>
        </w:tabs>
        <w:ind w:left="1440" w:hanging="360"/>
      </w:pPr>
      <w:rPr>
        <w:rFonts w:ascii="Arial" w:hAnsi="Arial" w:hint="default"/>
      </w:rPr>
    </w:lvl>
    <w:lvl w:ilvl="2" w:tplc="0B366414" w:tentative="1">
      <w:start w:val="1"/>
      <w:numFmt w:val="bullet"/>
      <w:lvlText w:val="•"/>
      <w:lvlJc w:val="left"/>
      <w:pPr>
        <w:tabs>
          <w:tab w:val="num" w:pos="2160"/>
        </w:tabs>
        <w:ind w:left="2160" w:hanging="360"/>
      </w:pPr>
      <w:rPr>
        <w:rFonts w:ascii="Arial" w:hAnsi="Arial" w:hint="default"/>
      </w:rPr>
    </w:lvl>
    <w:lvl w:ilvl="3" w:tplc="B74C6CD2" w:tentative="1">
      <w:start w:val="1"/>
      <w:numFmt w:val="bullet"/>
      <w:lvlText w:val="•"/>
      <w:lvlJc w:val="left"/>
      <w:pPr>
        <w:tabs>
          <w:tab w:val="num" w:pos="2880"/>
        </w:tabs>
        <w:ind w:left="2880" w:hanging="360"/>
      </w:pPr>
      <w:rPr>
        <w:rFonts w:ascii="Arial" w:hAnsi="Arial" w:hint="default"/>
      </w:rPr>
    </w:lvl>
    <w:lvl w:ilvl="4" w:tplc="11AC6466" w:tentative="1">
      <w:start w:val="1"/>
      <w:numFmt w:val="bullet"/>
      <w:lvlText w:val="•"/>
      <w:lvlJc w:val="left"/>
      <w:pPr>
        <w:tabs>
          <w:tab w:val="num" w:pos="3600"/>
        </w:tabs>
        <w:ind w:left="3600" w:hanging="360"/>
      </w:pPr>
      <w:rPr>
        <w:rFonts w:ascii="Arial" w:hAnsi="Arial" w:hint="default"/>
      </w:rPr>
    </w:lvl>
    <w:lvl w:ilvl="5" w:tplc="01FC57EC" w:tentative="1">
      <w:start w:val="1"/>
      <w:numFmt w:val="bullet"/>
      <w:lvlText w:val="•"/>
      <w:lvlJc w:val="left"/>
      <w:pPr>
        <w:tabs>
          <w:tab w:val="num" w:pos="4320"/>
        </w:tabs>
        <w:ind w:left="4320" w:hanging="360"/>
      </w:pPr>
      <w:rPr>
        <w:rFonts w:ascii="Arial" w:hAnsi="Arial" w:hint="default"/>
      </w:rPr>
    </w:lvl>
    <w:lvl w:ilvl="6" w:tplc="95E0584C" w:tentative="1">
      <w:start w:val="1"/>
      <w:numFmt w:val="bullet"/>
      <w:lvlText w:val="•"/>
      <w:lvlJc w:val="left"/>
      <w:pPr>
        <w:tabs>
          <w:tab w:val="num" w:pos="5040"/>
        </w:tabs>
        <w:ind w:left="5040" w:hanging="360"/>
      </w:pPr>
      <w:rPr>
        <w:rFonts w:ascii="Arial" w:hAnsi="Arial" w:hint="default"/>
      </w:rPr>
    </w:lvl>
    <w:lvl w:ilvl="7" w:tplc="E7400B3A" w:tentative="1">
      <w:start w:val="1"/>
      <w:numFmt w:val="bullet"/>
      <w:lvlText w:val="•"/>
      <w:lvlJc w:val="left"/>
      <w:pPr>
        <w:tabs>
          <w:tab w:val="num" w:pos="5760"/>
        </w:tabs>
        <w:ind w:left="5760" w:hanging="360"/>
      </w:pPr>
      <w:rPr>
        <w:rFonts w:ascii="Arial" w:hAnsi="Arial" w:hint="default"/>
      </w:rPr>
    </w:lvl>
    <w:lvl w:ilvl="8" w:tplc="F59284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E592CA7"/>
    <w:multiLevelType w:val="hybridMultilevel"/>
    <w:tmpl w:val="7E4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8211C3"/>
    <w:multiLevelType w:val="hybridMultilevel"/>
    <w:tmpl w:val="FC6083D4"/>
    <w:lvl w:ilvl="0" w:tplc="9684BF90">
      <w:numFmt w:val="bullet"/>
      <w:lvlText w:val=""/>
      <w:lvlJc w:val="left"/>
      <w:pPr>
        <w:ind w:left="412" w:hanging="293"/>
      </w:pPr>
      <w:rPr>
        <w:rFonts w:ascii="Symbol" w:eastAsia="Symbol" w:hAnsi="Symbol" w:cs="Symbol" w:hint="default"/>
        <w:b/>
        <w:bCs/>
        <w:spacing w:val="-1"/>
        <w:w w:val="100"/>
        <w:sz w:val="24"/>
        <w:szCs w:val="24"/>
        <w:lang w:val="en-US" w:eastAsia="en-US" w:bidi="en-US"/>
      </w:rPr>
    </w:lvl>
    <w:lvl w:ilvl="1" w:tplc="04090003">
      <w:start w:val="1"/>
      <w:numFmt w:val="bullet"/>
      <w:lvlText w:val="o"/>
      <w:lvlJc w:val="left"/>
      <w:pPr>
        <w:ind w:left="840" w:hanging="360"/>
      </w:pPr>
      <w:rPr>
        <w:rFonts w:ascii="Courier New" w:hAnsi="Courier New" w:cs="Courier New" w:hint="default"/>
        <w:w w:val="100"/>
        <w:sz w:val="24"/>
        <w:szCs w:val="24"/>
        <w:lang w:val="en-US" w:eastAsia="en-US" w:bidi="en-US"/>
      </w:rPr>
    </w:lvl>
    <w:lvl w:ilvl="2" w:tplc="8FCAD412">
      <w:numFmt w:val="bullet"/>
      <w:lvlText w:val="o"/>
      <w:lvlJc w:val="left"/>
      <w:pPr>
        <w:ind w:left="1560" w:hanging="360"/>
      </w:pPr>
      <w:rPr>
        <w:rFonts w:ascii="Courier New" w:eastAsia="Courier New" w:hAnsi="Courier New" w:cs="Courier New" w:hint="default"/>
        <w:w w:val="99"/>
        <w:sz w:val="24"/>
        <w:szCs w:val="24"/>
        <w:lang w:val="en-US" w:eastAsia="en-US" w:bidi="en-US"/>
      </w:rPr>
    </w:lvl>
    <w:lvl w:ilvl="3" w:tplc="5D60AB98">
      <w:numFmt w:val="bullet"/>
      <w:lvlText w:val="•"/>
      <w:lvlJc w:val="left"/>
      <w:pPr>
        <w:ind w:left="2742" w:hanging="360"/>
      </w:pPr>
      <w:rPr>
        <w:rFonts w:hint="default"/>
        <w:lang w:val="en-US" w:eastAsia="en-US" w:bidi="en-US"/>
      </w:rPr>
    </w:lvl>
    <w:lvl w:ilvl="4" w:tplc="8D0A2A0E">
      <w:numFmt w:val="bullet"/>
      <w:lvlText w:val="•"/>
      <w:lvlJc w:val="left"/>
      <w:pPr>
        <w:ind w:left="3925" w:hanging="360"/>
      </w:pPr>
      <w:rPr>
        <w:rFonts w:hint="default"/>
        <w:lang w:val="en-US" w:eastAsia="en-US" w:bidi="en-US"/>
      </w:rPr>
    </w:lvl>
    <w:lvl w:ilvl="5" w:tplc="DD5C8EDC">
      <w:numFmt w:val="bullet"/>
      <w:lvlText w:val="•"/>
      <w:lvlJc w:val="left"/>
      <w:pPr>
        <w:ind w:left="5107" w:hanging="360"/>
      </w:pPr>
      <w:rPr>
        <w:rFonts w:hint="default"/>
        <w:lang w:val="en-US" w:eastAsia="en-US" w:bidi="en-US"/>
      </w:rPr>
    </w:lvl>
    <w:lvl w:ilvl="6" w:tplc="F9D04B0E">
      <w:numFmt w:val="bullet"/>
      <w:lvlText w:val="•"/>
      <w:lvlJc w:val="left"/>
      <w:pPr>
        <w:ind w:left="6290" w:hanging="360"/>
      </w:pPr>
      <w:rPr>
        <w:rFonts w:hint="default"/>
        <w:lang w:val="en-US" w:eastAsia="en-US" w:bidi="en-US"/>
      </w:rPr>
    </w:lvl>
    <w:lvl w:ilvl="7" w:tplc="EF5C6618">
      <w:numFmt w:val="bullet"/>
      <w:lvlText w:val="•"/>
      <w:lvlJc w:val="left"/>
      <w:pPr>
        <w:ind w:left="7472" w:hanging="360"/>
      </w:pPr>
      <w:rPr>
        <w:rFonts w:hint="default"/>
        <w:lang w:val="en-US" w:eastAsia="en-US" w:bidi="en-US"/>
      </w:rPr>
    </w:lvl>
    <w:lvl w:ilvl="8" w:tplc="1F0ED8FC">
      <w:numFmt w:val="bullet"/>
      <w:lvlText w:val="•"/>
      <w:lvlJc w:val="left"/>
      <w:pPr>
        <w:ind w:left="8655" w:hanging="360"/>
      </w:pPr>
      <w:rPr>
        <w:rFonts w:hint="default"/>
        <w:lang w:val="en-US" w:eastAsia="en-US" w:bidi="en-US"/>
      </w:rPr>
    </w:lvl>
  </w:abstractNum>
  <w:num w:numId="1" w16cid:durableId="1589000223">
    <w:abstractNumId w:val="8"/>
  </w:num>
  <w:num w:numId="2" w16cid:durableId="344291560">
    <w:abstractNumId w:val="13"/>
  </w:num>
  <w:num w:numId="3" w16cid:durableId="1413548977">
    <w:abstractNumId w:val="7"/>
  </w:num>
  <w:num w:numId="4" w16cid:durableId="323318350">
    <w:abstractNumId w:val="11"/>
  </w:num>
  <w:num w:numId="5" w16cid:durableId="941260342">
    <w:abstractNumId w:val="9"/>
  </w:num>
  <w:num w:numId="6" w16cid:durableId="546063854">
    <w:abstractNumId w:val="2"/>
  </w:num>
  <w:num w:numId="7" w16cid:durableId="1597443012">
    <w:abstractNumId w:val="10"/>
  </w:num>
  <w:num w:numId="8" w16cid:durableId="1740052804">
    <w:abstractNumId w:val="15"/>
  </w:num>
  <w:num w:numId="9" w16cid:durableId="310063067">
    <w:abstractNumId w:val="4"/>
  </w:num>
  <w:num w:numId="10" w16cid:durableId="361907668">
    <w:abstractNumId w:val="0"/>
  </w:num>
  <w:num w:numId="11" w16cid:durableId="134371118">
    <w:abstractNumId w:val="6"/>
  </w:num>
  <w:num w:numId="12" w16cid:durableId="1994404604">
    <w:abstractNumId w:val="12"/>
  </w:num>
  <w:num w:numId="13" w16cid:durableId="1353414874">
    <w:abstractNumId w:val="5"/>
  </w:num>
  <w:num w:numId="14" w16cid:durableId="2078354634">
    <w:abstractNumId w:val="3"/>
  </w:num>
  <w:num w:numId="15" w16cid:durableId="592252129">
    <w:abstractNumId w:val="1"/>
  </w:num>
  <w:num w:numId="16" w16cid:durableId="818351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95"/>
    <w:rsid w:val="00016CAC"/>
    <w:rsid w:val="000A545E"/>
    <w:rsid w:val="000B6C0A"/>
    <w:rsid w:val="000D4673"/>
    <w:rsid w:val="000E69E6"/>
    <w:rsid w:val="0011591B"/>
    <w:rsid w:val="00132DBF"/>
    <w:rsid w:val="001708EF"/>
    <w:rsid w:val="0018497F"/>
    <w:rsid w:val="00196098"/>
    <w:rsid w:val="001B26B8"/>
    <w:rsid w:val="00220EC5"/>
    <w:rsid w:val="002352A6"/>
    <w:rsid w:val="00281820"/>
    <w:rsid w:val="002F14F4"/>
    <w:rsid w:val="003839EF"/>
    <w:rsid w:val="004175A5"/>
    <w:rsid w:val="00442504"/>
    <w:rsid w:val="004C7143"/>
    <w:rsid w:val="00506029"/>
    <w:rsid w:val="005264FE"/>
    <w:rsid w:val="00556821"/>
    <w:rsid w:val="005601B8"/>
    <w:rsid w:val="005701A9"/>
    <w:rsid w:val="0058084C"/>
    <w:rsid w:val="006458A4"/>
    <w:rsid w:val="00667B01"/>
    <w:rsid w:val="006D2C49"/>
    <w:rsid w:val="00705A6D"/>
    <w:rsid w:val="00734EA2"/>
    <w:rsid w:val="00742BAD"/>
    <w:rsid w:val="00753176"/>
    <w:rsid w:val="007A6E24"/>
    <w:rsid w:val="007E0C9D"/>
    <w:rsid w:val="0084715A"/>
    <w:rsid w:val="008961F6"/>
    <w:rsid w:val="008D1DB6"/>
    <w:rsid w:val="008F234A"/>
    <w:rsid w:val="008F4F51"/>
    <w:rsid w:val="00913FFB"/>
    <w:rsid w:val="00992939"/>
    <w:rsid w:val="00AB7D93"/>
    <w:rsid w:val="00B22F48"/>
    <w:rsid w:val="00B55BFB"/>
    <w:rsid w:val="00B6515F"/>
    <w:rsid w:val="00B81BC7"/>
    <w:rsid w:val="00B87AC0"/>
    <w:rsid w:val="00C27A56"/>
    <w:rsid w:val="00C53ED9"/>
    <w:rsid w:val="00C77B4C"/>
    <w:rsid w:val="00CD510C"/>
    <w:rsid w:val="00CF2F1D"/>
    <w:rsid w:val="00CF4AAB"/>
    <w:rsid w:val="00D156CE"/>
    <w:rsid w:val="00D24485"/>
    <w:rsid w:val="00DC2D40"/>
    <w:rsid w:val="00DF5C39"/>
    <w:rsid w:val="00E02832"/>
    <w:rsid w:val="00E41281"/>
    <w:rsid w:val="00E44C2C"/>
    <w:rsid w:val="00E65BC2"/>
    <w:rsid w:val="00E76B95"/>
    <w:rsid w:val="00ED0D33"/>
    <w:rsid w:val="00F26EB1"/>
    <w:rsid w:val="00F62A11"/>
    <w:rsid w:val="00FD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08A515"/>
  <w15:chartTrackingRefBased/>
  <w15:docId w15:val="{DDFF71CE-8EB4-425E-A8C2-6FEA849E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6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6B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6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6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6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6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6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6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B95"/>
    <w:rPr>
      <w:rFonts w:eastAsiaTheme="majorEastAsia" w:cstheme="majorBidi"/>
      <w:color w:val="272727" w:themeColor="text1" w:themeTint="D8"/>
    </w:rPr>
  </w:style>
  <w:style w:type="paragraph" w:styleId="Title">
    <w:name w:val="Title"/>
    <w:basedOn w:val="Normal"/>
    <w:next w:val="Normal"/>
    <w:link w:val="TitleChar"/>
    <w:uiPriority w:val="10"/>
    <w:qFormat/>
    <w:rsid w:val="00E76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B95"/>
    <w:pPr>
      <w:spacing w:before="160"/>
      <w:jc w:val="center"/>
    </w:pPr>
    <w:rPr>
      <w:i/>
      <w:iCs/>
      <w:color w:val="404040" w:themeColor="text1" w:themeTint="BF"/>
    </w:rPr>
  </w:style>
  <w:style w:type="character" w:customStyle="1" w:styleId="QuoteChar">
    <w:name w:val="Quote Char"/>
    <w:basedOn w:val="DefaultParagraphFont"/>
    <w:link w:val="Quote"/>
    <w:uiPriority w:val="29"/>
    <w:rsid w:val="00E76B95"/>
    <w:rPr>
      <w:i/>
      <w:iCs/>
      <w:color w:val="404040" w:themeColor="text1" w:themeTint="BF"/>
    </w:rPr>
  </w:style>
  <w:style w:type="paragraph" w:styleId="ListParagraph">
    <w:name w:val="List Paragraph"/>
    <w:basedOn w:val="Normal"/>
    <w:uiPriority w:val="34"/>
    <w:qFormat/>
    <w:rsid w:val="00E76B95"/>
    <w:pPr>
      <w:ind w:left="720"/>
      <w:contextualSpacing/>
    </w:pPr>
  </w:style>
  <w:style w:type="character" w:styleId="IntenseEmphasis">
    <w:name w:val="Intense Emphasis"/>
    <w:basedOn w:val="DefaultParagraphFont"/>
    <w:uiPriority w:val="21"/>
    <w:qFormat/>
    <w:rsid w:val="00E76B95"/>
    <w:rPr>
      <w:i/>
      <w:iCs/>
      <w:color w:val="0F4761" w:themeColor="accent1" w:themeShade="BF"/>
    </w:rPr>
  </w:style>
  <w:style w:type="paragraph" w:styleId="IntenseQuote">
    <w:name w:val="Intense Quote"/>
    <w:basedOn w:val="Normal"/>
    <w:next w:val="Normal"/>
    <w:link w:val="IntenseQuoteChar"/>
    <w:uiPriority w:val="30"/>
    <w:qFormat/>
    <w:rsid w:val="00E76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6B95"/>
    <w:rPr>
      <w:i/>
      <w:iCs/>
      <w:color w:val="0F4761" w:themeColor="accent1" w:themeShade="BF"/>
    </w:rPr>
  </w:style>
  <w:style w:type="character" w:styleId="IntenseReference">
    <w:name w:val="Intense Reference"/>
    <w:basedOn w:val="DefaultParagraphFont"/>
    <w:uiPriority w:val="32"/>
    <w:qFormat/>
    <w:rsid w:val="00E76B95"/>
    <w:rPr>
      <w:b/>
      <w:bCs/>
      <w:smallCaps/>
      <w:color w:val="0F4761" w:themeColor="accent1" w:themeShade="BF"/>
      <w:spacing w:val="5"/>
    </w:rPr>
  </w:style>
  <w:style w:type="paragraph" w:styleId="BodyText">
    <w:name w:val="Body Text"/>
    <w:basedOn w:val="Normal"/>
    <w:link w:val="BodyTextChar"/>
    <w:uiPriority w:val="1"/>
    <w:qFormat/>
    <w:rsid w:val="00E76B95"/>
    <w:pPr>
      <w:widowControl w:val="0"/>
      <w:autoSpaceDE w:val="0"/>
      <w:autoSpaceDN w:val="0"/>
      <w:spacing w:after="0" w:line="240" w:lineRule="auto"/>
    </w:pPr>
    <w:rPr>
      <w:rFonts w:ascii="Times New Roman" w:eastAsia="Times New Roman" w:hAnsi="Times New Roman" w:cs="Times New Roman"/>
      <w:kern w:val="0"/>
      <w:sz w:val="24"/>
      <w:szCs w:val="24"/>
      <w:lang w:bidi="en-US"/>
    </w:rPr>
  </w:style>
  <w:style w:type="character" w:customStyle="1" w:styleId="BodyTextChar">
    <w:name w:val="Body Text Char"/>
    <w:basedOn w:val="DefaultParagraphFont"/>
    <w:link w:val="BodyText"/>
    <w:uiPriority w:val="1"/>
    <w:rsid w:val="00E76B95"/>
    <w:rPr>
      <w:rFonts w:ascii="Times New Roman" w:eastAsia="Times New Roman" w:hAnsi="Times New Roman" w:cs="Times New Roman"/>
      <w:kern w:val="0"/>
      <w:sz w:val="24"/>
      <w:szCs w:val="24"/>
      <w:lang w:bidi="en-US"/>
    </w:rPr>
  </w:style>
  <w:style w:type="character" w:styleId="Hyperlink">
    <w:name w:val="Hyperlink"/>
    <w:basedOn w:val="DefaultParagraphFont"/>
    <w:uiPriority w:val="99"/>
    <w:unhideWhenUsed/>
    <w:rsid w:val="00DC2D40"/>
    <w:rPr>
      <w:color w:val="467886" w:themeColor="hyperlink"/>
      <w:u w:val="single"/>
    </w:rPr>
  </w:style>
  <w:style w:type="paragraph" w:styleId="FootnoteText">
    <w:name w:val="footnote text"/>
    <w:basedOn w:val="Normal"/>
    <w:link w:val="FootnoteTextChar"/>
    <w:uiPriority w:val="99"/>
    <w:semiHidden/>
    <w:unhideWhenUsed/>
    <w:rsid w:val="00DC2D4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DC2D40"/>
    <w:rPr>
      <w:kern w:val="0"/>
      <w:sz w:val="20"/>
      <w:szCs w:val="20"/>
      <w14:ligatures w14:val="none"/>
    </w:rPr>
  </w:style>
  <w:style w:type="character" w:styleId="FootnoteReference">
    <w:name w:val="footnote reference"/>
    <w:basedOn w:val="DefaultParagraphFont"/>
    <w:uiPriority w:val="99"/>
    <w:semiHidden/>
    <w:unhideWhenUsed/>
    <w:rsid w:val="00DC2D40"/>
    <w:rPr>
      <w:vertAlign w:val="superscript"/>
    </w:rPr>
  </w:style>
  <w:style w:type="table" w:styleId="TableGrid">
    <w:name w:val="Table Grid"/>
    <w:basedOn w:val="TableNormal"/>
    <w:uiPriority w:val="39"/>
    <w:rsid w:val="005568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56821"/>
  </w:style>
  <w:style w:type="character" w:styleId="UnresolvedMention">
    <w:name w:val="Unresolved Mention"/>
    <w:basedOn w:val="DefaultParagraphFont"/>
    <w:uiPriority w:val="99"/>
    <w:semiHidden/>
    <w:unhideWhenUsed/>
    <w:rsid w:val="00C77B4C"/>
    <w:rPr>
      <w:color w:val="605E5C"/>
      <w:shd w:val="clear" w:color="auto" w:fill="E1DFDD"/>
    </w:rPr>
  </w:style>
  <w:style w:type="paragraph" w:styleId="Header">
    <w:name w:val="header"/>
    <w:basedOn w:val="Normal"/>
    <w:link w:val="HeaderChar"/>
    <w:uiPriority w:val="99"/>
    <w:unhideWhenUsed/>
    <w:rsid w:val="00C77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B4C"/>
  </w:style>
  <w:style w:type="paragraph" w:styleId="Footer">
    <w:name w:val="footer"/>
    <w:basedOn w:val="Normal"/>
    <w:link w:val="FooterChar"/>
    <w:uiPriority w:val="99"/>
    <w:unhideWhenUsed/>
    <w:rsid w:val="00C77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B4C"/>
  </w:style>
  <w:style w:type="character" w:styleId="CommentReference">
    <w:name w:val="annotation reference"/>
    <w:basedOn w:val="DefaultParagraphFont"/>
    <w:uiPriority w:val="99"/>
    <w:semiHidden/>
    <w:unhideWhenUsed/>
    <w:rsid w:val="00734EA2"/>
    <w:rPr>
      <w:sz w:val="16"/>
      <w:szCs w:val="16"/>
    </w:rPr>
  </w:style>
  <w:style w:type="paragraph" w:styleId="CommentText">
    <w:name w:val="annotation text"/>
    <w:basedOn w:val="Normal"/>
    <w:link w:val="CommentTextChar"/>
    <w:uiPriority w:val="99"/>
    <w:unhideWhenUsed/>
    <w:rsid w:val="00734EA2"/>
    <w:pPr>
      <w:spacing w:line="240" w:lineRule="auto"/>
    </w:pPr>
    <w:rPr>
      <w:sz w:val="20"/>
      <w:szCs w:val="20"/>
    </w:rPr>
  </w:style>
  <w:style w:type="character" w:customStyle="1" w:styleId="CommentTextChar">
    <w:name w:val="Comment Text Char"/>
    <w:basedOn w:val="DefaultParagraphFont"/>
    <w:link w:val="CommentText"/>
    <w:uiPriority w:val="99"/>
    <w:rsid w:val="00734EA2"/>
    <w:rPr>
      <w:sz w:val="20"/>
      <w:szCs w:val="20"/>
    </w:rPr>
  </w:style>
  <w:style w:type="paragraph" w:styleId="CommentSubject">
    <w:name w:val="annotation subject"/>
    <w:basedOn w:val="CommentText"/>
    <w:next w:val="CommentText"/>
    <w:link w:val="CommentSubjectChar"/>
    <w:uiPriority w:val="99"/>
    <w:semiHidden/>
    <w:unhideWhenUsed/>
    <w:rsid w:val="00734EA2"/>
    <w:rPr>
      <w:b/>
      <w:bCs/>
    </w:rPr>
  </w:style>
  <w:style w:type="character" w:customStyle="1" w:styleId="CommentSubjectChar">
    <w:name w:val="Comment Subject Char"/>
    <w:basedOn w:val="CommentTextChar"/>
    <w:link w:val="CommentSubject"/>
    <w:uiPriority w:val="99"/>
    <w:semiHidden/>
    <w:rsid w:val="00734EA2"/>
    <w:rPr>
      <w:b/>
      <w:bCs/>
      <w:sz w:val="20"/>
      <w:szCs w:val="20"/>
    </w:rPr>
  </w:style>
  <w:style w:type="paragraph" w:customStyle="1" w:styleId="pf0">
    <w:name w:val="pf0"/>
    <w:basedOn w:val="Normal"/>
    <w:rsid w:val="00B87A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B87AC0"/>
    <w:rPr>
      <w:rFonts w:ascii="Segoe UI" w:hAnsi="Segoe UI" w:cs="Segoe UI" w:hint="default"/>
      <w:sz w:val="18"/>
      <w:szCs w:val="18"/>
    </w:rPr>
  </w:style>
  <w:style w:type="paragraph" w:styleId="Revision">
    <w:name w:val="Revision"/>
    <w:hidden/>
    <w:uiPriority w:val="99"/>
    <w:semiHidden/>
    <w:rsid w:val="00B22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21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commons.org/collections/An-Introduction-to-Policy-Systems-and-Environmental-PSE-Chang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rtners.zoom.us/j/8233438294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h.org/gra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WHcollaborative@partner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WHcollaborative@partners.org"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37866838/" TargetMode="External"/><Relationship Id="rId13" Type="http://schemas.openxmlformats.org/officeDocument/2006/relationships/hyperlink" Target="https://essentialhospitals.org/wp-content/uploads/2019/03/Confronting-Transporation-Barriers-1.pdf" TargetMode="External"/><Relationship Id="rId3" Type="http://schemas.openxmlformats.org/officeDocument/2006/relationships/hyperlink" Target="https://www.urban.org/sites/default/files/2023-01/Customer%20Service%20Experiences%20and%20Enrollment%20Difficulties%20Vary%20Widely%20across%20Safety%20Net%20Programs.pdf?mc_cid=faf434a5e0" TargetMode="External"/><Relationship Id="rId7" Type="http://schemas.openxmlformats.org/officeDocument/2006/relationships/hyperlink" Target="https://ctu.ieee.org/barriers-to-digital-inclusion/" TargetMode="External"/><Relationship Id="rId12" Type="http://schemas.openxmlformats.org/officeDocument/2006/relationships/hyperlink" Target="https://www.rwjf.org/en/insights/our-research/2023/04/more-than-one-in-five-adults-with-limited-public-transit-access-forgo-healthcare-because-of-transportation-barriers.html" TargetMode="External"/><Relationship Id="rId17" Type="http://schemas.openxmlformats.org/officeDocument/2006/relationships/hyperlink" Target="https://www.ncbi.nlm.nih.gov/pmc/articles/PMC8804235/" TargetMode="External"/><Relationship Id="rId2" Type="http://schemas.openxmlformats.org/officeDocument/2006/relationships/hyperlink" Target="https://health.gov/healthypeople/priority-areas/social-determinants-health/literature-summaries/access-health-services" TargetMode="External"/><Relationship Id="rId16" Type="http://schemas.openxmlformats.org/officeDocument/2006/relationships/hyperlink" Target="https://equityhealthj.biomedcentral.com/articles/10.1186/s12939-017-0671-2" TargetMode="External"/><Relationship Id="rId1" Type="http://schemas.openxmlformats.org/officeDocument/2006/relationships/hyperlink" Target="https://bmcpublichealth.biomedcentral.com/articles/10.1186/s12889-021-11981-5" TargetMode="External"/><Relationship Id="rId6" Type="http://schemas.openxmlformats.org/officeDocument/2006/relationships/hyperlink" Target="https://www.ncbi.nlm.nih.gov/pmc/articles/PMC7274400/" TargetMode="External"/><Relationship Id="rId11" Type="http://schemas.openxmlformats.org/officeDocument/2006/relationships/hyperlink" Target="https://www.americanimmigrationcouncil.org/sites/default/files/examining_gaps_in_digital_inclusion_in_massachusetts.pdf" TargetMode="External"/><Relationship Id="rId5" Type="http://schemas.openxmlformats.org/officeDocument/2006/relationships/hyperlink" Target="https://www.pewtrusts.org/en/research-and-analysis/articles/2023/06/23/social-service-programs-must-be-accessible-to-people-who-speak-limited-english" TargetMode="External"/><Relationship Id="rId15" Type="http://schemas.openxmlformats.org/officeDocument/2006/relationships/hyperlink" Target="https://info.primarycare.hms.harvard.edu/perspectives/articles/mobile-clinics-in-the-us-health-system" TargetMode="External"/><Relationship Id="rId10" Type="http://schemas.openxmlformats.org/officeDocument/2006/relationships/hyperlink" Target="https://www.weforum.org/agenda/2021/06/digital-divide-persists-even-as-americans-with-lower-incomes-make-gains-in-tech-adoption/" TargetMode="External"/><Relationship Id="rId4" Type="http://schemas.openxmlformats.org/officeDocument/2006/relationships/hyperlink" Target="https://www.ncbi.nlm.nih.gov/pmc/articles/PMC10977599/" TargetMode="External"/><Relationship Id="rId9" Type="http://schemas.openxmlformats.org/officeDocument/2006/relationships/hyperlink" Target="https://www.nature.com/articles/s41746-021-00413-8" TargetMode="External"/><Relationship Id="rId14" Type="http://schemas.openxmlformats.org/officeDocument/2006/relationships/hyperlink" Target="https://www.cms.gov/priorities/innovation/media/document/vbid-cy2023-transportation-use-c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B2336-A3BF-4022-8ABB-651EF89A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3528</Words>
  <Characters>20110</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Amherst</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Citino</dc:creator>
  <cp:keywords/>
  <dc:description/>
  <cp:lastModifiedBy>Christina Citino</cp:lastModifiedBy>
  <cp:revision>2</cp:revision>
  <cp:lastPrinted>2024-12-09T14:48:00Z</cp:lastPrinted>
  <dcterms:created xsi:type="dcterms:W3CDTF">2024-12-10T23:40:00Z</dcterms:created>
  <dcterms:modified xsi:type="dcterms:W3CDTF">2024-12-10T23:40:00Z</dcterms:modified>
</cp:coreProperties>
</file>